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по муниципальному жилищному контролю за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со ст. 47 Федеральный закон от 31.07.2020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жилищного контроля подготовлен с ц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елью обеспечения доступности сведений об указанной практики, устранения условий, способ</w:t>
      </w:r>
      <w:r>
        <w:rPr>
          <w:rFonts w:ascii="Times New Roman" w:hAnsi="Times New Roman" w:cs="Times New Roman"/>
          <w:sz w:val="28"/>
          <w:szCs w:val="28"/>
        </w:rPr>
        <w:t xml:space="preserve">ствующих совершению правонарушений, а также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роведение мероприятий по муниципальному жилищному контролю не осуществлялось по причине отсутствия плановых проверок в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Действия органа муниципального жилищного контроля по пресечению нарушений обязательных требований и (или) устранению последствий таких нарушений осуществляется по мере выявления таких случаев (в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подобные нарушения не выявлены)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Специалист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муниципальному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жилищному контролю в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пров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одились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разъясн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ялись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рамках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контроля   специалист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сектора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соблюдением требований действующего законодательства: 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1) требований к использованию и сохранности муниципального жилого фонда, в том числе требований к жилым помещениям, их использованию и содержанию общего имущества собственников помещений в многоквартирных домах;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3) требований к предоставлению коммунальных услуг собственникам и пользователям помещений в многоквартирных домах и жилых домов;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4) правил изменения размера платы за содержание жилого помещения в случае оказания услуг и выполнения работ по управлению, содержанию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5) правил содержания общего имущества в многоквартирном доме и правил изменения размера платы за содержание жилого помещения;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Государственной информационной системе жилищно-коммунального хозяйства;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9) требований к обеспечению доступности для инвалидов помещений в многоквартирных домах.</w:t>
      </w:r>
      <w:r/>
    </w:p>
    <w:p>
      <w:pPr>
        <w:ind w:firstLine="540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мо</w:t>
      </w:r>
      <w:r>
        <w:rPr>
          <w:rFonts w:ascii="Times New Roman" w:hAnsi="Times New Roman"/>
          <w:sz w:val="28"/>
          <w:szCs w:val="28"/>
        </w:rPr>
        <w:t xml:space="preserve">гут</w:t>
      </w:r>
      <w:r>
        <w:rPr>
          <w:rFonts w:ascii="Times New Roman" w:hAnsi="Times New Roman"/>
          <w:sz w:val="28"/>
          <w:szCs w:val="28"/>
        </w:rPr>
        <w:t xml:space="preserve"> выдаваться </w:t>
      </w:r>
      <w:r>
        <w:rPr>
          <w:rFonts w:ascii="Times New Roman" w:hAnsi="Times New Roman"/>
          <w:sz w:val="28"/>
          <w:szCs w:val="28"/>
        </w:rPr>
        <w:t xml:space="preserve">предостережения</w:t>
      </w:r>
      <w:r>
        <w:rPr>
          <w:rFonts w:ascii="Times New Roman" w:hAnsi="Times New Roman"/>
          <w:sz w:val="28"/>
          <w:szCs w:val="28"/>
        </w:rPr>
        <w:t xml:space="preserve"> об устранении выявленных нарушений обязательных требований, в том числе в ходе наблюдения за соблюдением обязательных требований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личного обращения к специалист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ам сектора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уполномоченного на осуществление муниципального жилищного 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1021" w:bottom="737" w:left="1066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character" w:styleId="46">
    <w:name w:val="Caption Char"/>
    <w:basedOn w:val="610"/>
    <w:link w:val="43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160" w:line="259" w:lineRule="auto"/>
    </w:pPr>
    <w:rPr>
      <w:sz w:val="22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Интернет-ссылка"/>
    <w:basedOn w:val="603"/>
    <w:uiPriority w:val="99"/>
    <w:semiHidden/>
    <w:unhideWhenUsed/>
    <w:rPr>
      <w:color w:val="0000ff"/>
      <w:u w:val="single"/>
    </w:rPr>
  </w:style>
  <w:style w:type="paragraph" w:styleId="607" w:customStyle="1">
    <w:name w:val="Заголовок"/>
    <w:basedOn w:val="602"/>
    <w:next w:val="60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08">
    <w:name w:val="Body Text"/>
    <w:basedOn w:val="602"/>
    <w:pPr>
      <w:spacing w:after="140" w:line="276" w:lineRule="auto"/>
    </w:pPr>
  </w:style>
  <w:style w:type="paragraph" w:styleId="609">
    <w:name w:val="List"/>
    <w:basedOn w:val="608"/>
    <w:rPr>
      <w:rFonts w:cs="Arial"/>
    </w:rPr>
  </w:style>
  <w:style w:type="paragraph" w:styleId="610">
    <w:name w:val="Caption"/>
    <w:basedOn w:val="60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11">
    <w:name w:val="index heading"/>
    <w:basedOn w:val="602"/>
    <w:qFormat/>
    <w:pPr>
      <w:suppressLineNumbers/>
    </w:pPr>
    <w:rPr>
      <w:rFonts w:cs="Arial"/>
    </w:rPr>
  </w:style>
  <w:style w:type="paragraph" w:styleId="612">
    <w:name w:val="Normal (Web)"/>
    <w:basedOn w:val="602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3">
    <w:name w:val="List Paragraph"/>
    <w:basedOn w:val="602"/>
    <w:qFormat/>
    <w:pPr>
      <w:contextualSpacing/>
      <w:ind w:left="720"/>
    </w:pPr>
  </w:style>
  <w:style w:type="character" w:styleId="614">
    <w:name w:val="Hyperlink"/>
    <w:basedOn w:val="603"/>
    <w:uiPriority w:val="99"/>
    <w:unhideWhenUsed/>
    <w:rPr>
      <w:color w:val="0563c1" w:themeColor="hyperlink"/>
      <w:u w:val="single"/>
    </w:rPr>
  </w:style>
  <w:style w:type="paragraph" w:styleId="615">
    <w:name w:val="Balloon Text"/>
    <w:basedOn w:val="602"/>
    <w:link w:val="6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6" w:customStyle="1">
    <w:name w:val="Текст выноски Знак"/>
    <w:basedOn w:val="603"/>
    <w:link w:val="615"/>
    <w:uiPriority w:val="99"/>
    <w:semiHidden/>
    <w:rPr>
      <w:rFonts w:ascii="Tahoma" w:hAnsi="Tahoma" w:cs="Tahoma"/>
      <w:sz w:val="16"/>
      <w:szCs w:val="16"/>
    </w:rPr>
  </w:style>
  <w:style w:type="paragraph" w:styleId="617" w:customStyle="1">
    <w:name w:val="Знак Знак Знак Char Char Знак Знак Знак Знак Знак Знак Знак Знак Знак Знак Знак Знак"/>
    <w:basedOn w:val="602"/>
    <w:pPr>
      <w:ind w:left="720" w:hanging="720"/>
      <w:jc w:val="both"/>
      <w:spacing w:line="240" w:lineRule="exact"/>
      <w:tabs>
        <w:tab w:val="num" w:pos="720" w:leader="none"/>
      </w:tabs>
    </w:pPr>
    <w:rPr>
      <w:rFonts w:ascii="Verdana" w:hAnsi="Verdana" w:eastAsia="Times New Roman" w:cs="Verdana"/>
      <w:sz w:val="20"/>
      <w:szCs w:val="20"/>
      <w:lang w:val="en-US"/>
    </w:rPr>
  </w:style>
  <w:style w:type="paragraph" w:styleId="618">
    <w:name w:val="No Spacing"/>
    <w:uiPriority w:val="1"/>
    <w:qFormat/>
    <w:rPr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Алаторцева</dc:creator>
  <dc:language>ru-RU</dc:language>
  <cp:revision>5</cp:revision>
  <dcterms:created xsi:type="dcterms:W3CDTF">2023-01-10T11:26:00Z</dcterms:created>
  <dcterms:modified xsi:type="dcterms:W3CDTF">2023-01-10T12:16:12Z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