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7B" w:rsidRDefault="007D017B" w:rsidP="007D017B">
      <w:r>
        <w:rPr>
          <w:b/>
          <w:sz w:val="28"/>
          <w:szCs w:val="28"/>
        </w:rPr>
        <w:t xml:space="preserve">             </w:t>
      </w:r>
      <w:r>
        <w:rPr>
          <w:b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</w:t>
      </w:r>
      <w:r w:rsidR="003B6E2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1pt;visibility:visible;mso-wrap-style:square" filled="t">
            <v:imagedata r:id="rId8" o:title="" croptop="-36f" cropbottom="-36f" cropleft="-53f" cropright="-53f"/>
          </v:shape>
        </w:pict>
      </w:r>
    </w:p>
    <w:p w:rsidR="007D017B" w:rsidRPr="0075254E" w:rsidRDefault="003B6E2A" w:rsidP="007D017B">
      <w:pPr>
        <w:pStyle w:val="14"/>
        <w:keepNext/>
        <w:keepLines/>
        <w:shd w:val="clear" w:color="auto" w:fill="auto"/>
        <w:spacing w:after="0" w:line="250" w:lineRule="exact"/>
        <w:ind w:left="19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01.1pt;margin-top:682.25pt;width:45.45pt;height:5.85pt;z-index: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7D017B" w:rsidRDefault="007D017B" w:rsidP="007D017B">
                  <w:pPr>
                    <w:pStyle w:val="32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  <w:r w:rsidR="007D017B" w:rsidRPr="0075254E">
        <w:t xml:space="preserve">                   СОВЕТ ДЕПУТАТОВ</w:t>
      </w:r>
    </w:p>
    <w:p w:rsidR="007D017B" w:rsidRPr="0075254E" w:rsidRDefault="007D017B" w:rsidP="007D017B">
      <w:pPr>
        <w:pStyle w:val="15"/>
        <w:shd w:val="clear" w:color="auto" w:fill="auto"/>
        <w:spacing w:before="0" w:after="273"/>
        <w:ind w:left="40" w:right="220"/>
        <w:jc w:val="center"/>
      </w:pPr>
      <w:r w:rsidRPr="0075254E"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7D017B" w:rsidRDefault="007D017B" w:rsidP="007D017B">
      <w:pPr>
        <w:rPr>
          <w:b/>
        </w:rPr>
      </w:pPr>
      <w:r w:rsidRPr="0075254E"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         </w:t>
      </w:r>
      <w:proofErr w:type="gramStart"/>
      <w:r w:rsidRPr="0075254E"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 w:rsidRPr="0075254E"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  <w:r w:rsidRPr="0075254E">
        <w:rPr>
          <w:b/>
        </w:rPr>
        <w:t xml:space="preserve">  </w:t>
      </w:r>
    </w:p>
    <w:p w:rsidR="007D017B" w:rsidRDefault="007D017B" w:rsidP="007D017B">
      <w:pPr>
        <w:pStyle w:val="a4"/>
        <w:jc w:val="both"/>
        <w:rPr>
          <w:sz w:val="28"/>
          <w:szCs w:val="28"/>
        </w:rPr>
      </w:pPr>
    </w:p>
    <w:p w:rsidR="007D017B" w:rsidRDefault="007D017B" w:rsidP="007D01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11.11.2024  №  31-гсд</w:t>
      </w:r>
      <w:r w:rsidRPr="00BB23C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D4CC0" w:rsidRDefault="006D4CC0" w:rsidP="007D017B">
      <w:pPr>
        <w:rPr>
          <w:rFonts w:ascii="Times New Roman" w:hAnsi="Times New Roman" w:cs="Times New Roman"/>
          <w:sz w:val="28"/>
          <w:szCs w:val="28"/>
        </w:rPr>
      </w:pPr>
    </w:p>
    <w:p w:rsidR="006D4CC0" w:rsidRPr="007D017B" w:rsidRDefault="007D017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017B">
        <w:rPr>
          <w:rFonts w:ascii="Times New Roman" w:hAnsi="Times New Roman" w:cs="Times New Roman"/>
          <w:b/>
          <w:sz w:val="28"/>
          <w:szCs w:val="28"/>
        </w:rPr>
        <w:t>Об установке памятника «Ветеранам боевых действий» в виде БТР 70</w:t>
      </w:r>
    </w:p>
    <w:p w:rsidR="006D4CC0" w:rsidRPr="007D017B" w:rsidRDefault="006D4CC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CC0" w:rsidRPr="007D017B" w:rsidRDefault="007D017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017B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муниципального образования </w:t>
      </w:r>
      <w:proofErr w:type="spellStart"/>
      <w:r w:rsidRPr="007D017B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7D017B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7D017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D017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25.12.2007 № 307-ГСД «Об утверждении Порядка установки памятников, мемориальных досок на территории муниципального образования </w:t>
      </w:r>
      <w:proofErr w:type="spellStart"/>
      <w:r w:rsidRPr="007D017B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7D017B">
        <w:rPr>
          <w:rFonts w:ascii="Times New Roman" w:hAnsi="Times New Roman" w:cs="Times New Roman"/>
          <w:sz w:val="28"/>
          <w:szCs w:val="28"/>
        </w:rPr>
        <w:t xml:space="preserve"> городское поселение», на основании протокола заседания художественного совета по увековечиванию памяти выдающихся личностей и исторических событий </w:t>
      </w:r>
      <w:proofErr w:type="spellStart"/>
      <w:r w:rsidRPr="007D017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D017B">
        <w:rPr>
          <w:rFonts w:ascii="Times New Roman" w:hAnsi="Times New Roman" w:cs="Times New Roman"/>
          <w:sz w:val="28"/>
          <w:szCs w:val="28"/>
        </w:rPr>
        <w:t xml:space="preserve"> городского поселения от 08 ноября 2024 года № 1, в целях патриотического воспитания</w:t>
      </w:r>
      <w:proofErr w:type="gramEnd"/>
      <w:r w:rsidRPr="007D017B">
        <w:rPr>
          <w:rFonts w:ascii="Times New Roman" w:hAnsi="Times New Roman" w:cs="Times New Roman"/>
          <w:sz w:val="28"/>
          <w:szCs w:val="28"/>
        </w:rPr>
        <w:t xml:space="preserve"> молодежи, сохранения исторической памяти о локальных военных конфликтах, формирования в среде детей и подростков положительного образа защитника отечества и увековечивания памяти участников боевых действий, локальных войн военных конфликтов и участников Специальной военной операции</w:t>
      </w:r>
      <w:r w:rsidRPr="007D017B">
        <w:rPr>
          <w:rFonts w:ascii="Times New Roman" w:hAnsi="Times New Roman" w:cs="Times New Roman"/>
          <w:bCs/>
          <w:sz w:val="28"/>
          <w:szCs w:val="28"/>
        </w:rPr>
        <w:t xml:space="preserve">, совет депутатов </w:t>
      </w:r>
      <w:proofErr w:type="spellStart"/>
      <w:r w:rsidRPr="007D017B">
        <w:rPr>
          <w:rFonts w:ascii="Times New Roman" w:hAnsi="Times New Roman" w:cs="Times New Roman"/>
          <w:bCs/>
          <w:sz w:val="28"/>
          <w:szCs w:val="28"/>
        </w:rPr>
        <w:t>Сланцев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r w:rsidRPr="007D017B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7D017B">
        <w:rPr>
          <w:rFonts w:ascii="Times New Roman" w:hAnsi="Times New Roman" w:cs="Times New Roman"/>
          <w:sz w:val="28"/>
          <w:szCs w:val="28"/>
        </w:rPr>
        <w:t>:</w:t>
      </w:r>
    </w:p>
    <w:p w:rsidR="006D4CC0" w:rsidRPr="007D017B" w:rsidRDefault="007D01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17B">
        <w:rPr>
          <w:rFonts w:ascii="Times New Roman" w:hAnsi="Times New Roman" w:cs="Times New Roman"/>
          <w:sz w:val="28"/>
          <w:szCs w:val="28"/>
        </w:rPr>
        <w:t xml:space="preserve">1. Поддержать инициативу установки памятника на территории </w:t>
      </w:r>
      <w:proofErr w:type="spellStart"/>
      <w:r w:rsidRPr="007D017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D017B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proofErr w:type="spellStart"/>
      <w:r w:rsidRPr="007D017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D017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«Ветеранам боевых действий» в виде БТР 70 (далее – памятник).</w:t>
      </w:r>
    </w:p>
    <w:p w:rsidR="006D4CC0" w:rsidRPr="007D017B" w:rsidRDefault="007D01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17B">
        <w:rPr>
          <w:rFonts w:ascii="Times New Roman" w:hAnsi="Times New Roman" w:cs="Times New Roman"/>
          <w:sz w:val="28"/>
          <w:szCs w:val="28"/>
        </w:rPr>
        <w:t xml:space="preserve">2. Заказчиком определить межрегиональную общественную организацию «Союз  ветеранов локальных войн и военных конфликтов»,              ИНН 4711470177, КПП 471101001, ОГРН 1144700001346, расположенную по адресу: 187780, Ленинградская область, </w:t>
      </w:r>
      <w:proofErr w:type="spellStart"/>
      <w:r w:rsidRPr="007D017B"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 w:rsidRPr="007D017B">
        <w:rPr>
          <w:rFonts w:ascii="Times New Roman" w:hAnsi="Times New Roman" w:cs="Times New Roman"/>
          <w:sz w:val="28"/>
          <w:szCs w:val="28"/>
        </w:rPr>
        <w:t xml:space="preserve"> район, Подпорожье город, Сосновая улица, дом 13Б, квартира 34 (далее – Заказчик).</w:t>
      </w:r>
    </w:p>
    <w:p w:rsidR="006D4CC0" w:rsidRPr="007D017B" w:rsidRDefault="007D01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17B">
        <w:rPr>
          <w:rFonts w:ascii="Times New Roman" w:hAnsi="Times New Roman" w:cs="Times New Roman"/>
          <w:sz w:val="28"/>
          <w:szCs w:val="28"/>
        </w:rPr>
        <w:t xml:space="preserve">3. Заказчику соблюдать требования, установленные Порядком установки памятников, мемориальных досок на территории муниципального образования </w:t>
      </w:r>
      <w:proofErr w:type="spellStart"/>
      <w:r w:rsidRPr="007D017B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7D017B">
        <w:rPr>
          <w:rFonts w:ascii="Times New Roman" w:hAnsi="Times New Roman" w:cs="Times New Roman"/>
          <w:sz w:val="28"/>
          <w:szCs w:val="28"/>
        </w:rPr>
        <w:t xml:space="preserve"> городское поселения, утвержденным решением совета депутатов муниципального образования </w:t>
      </w:r>
      <w:proofErr w:type="spellStart"/>
      <w:r w:rsidRPr="007D017B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7D017B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7D017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D017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25.12.2007 № 307-ГСД.</w:t>
      </w:r>
    </w:p>
    <w:p w:rsidR="006D4CC0" w:rsidRPr="007D017B" w:rsidRDefault="007D017B">
      <w:pPr>
        <w:ind w:firstLine="851"/>
        <w:jc w:val="both"/>
        <w:rPr>
          <w:sz w:val="28"/>
          <w:szCs w:val="28"/>
        </w:rPr>
      </w:pPr>
      <w:r w:rsidRPr="007D017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D01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17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депутатскую комиссию совета депутатов по физической культуре, спорту, молодежной политике и культуре.</w:t>
      </w:r>
    </w:p>
    <w:p w:rsidR="006D4CC0" w:rsidRPr="007D017B" w:rsidRDefault="006D4CC0">
      <w:pPr>
        <w:tabs>
          <w:tab w:val="left" w:pos="3221"/>
        </w:tabs>
        <w:ind w:firstLine="26"/>
        <w:rPr>
          <w:rFonts w:ascii="Times New Roman" w:hAnsi="Times New Roman" w:cs="Times New Roman"/>
          <w:color w:val="000000"/>
          <w:sz w:val="28"/>
          <w:szCs w:val="28"/>
        </w:rPr>
      </w:pPr>
    </w:p>
    <w:p w:rsidR="00EA51B4" w:rsidRDefault="00EA51B4">
      <w:pPr>
        <w:tabs>
          <w:tab w:val="left" w:pos="3221"/>
        </w:tabs>
        <w:ind w:firstLine="26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6D4CC0" w:rsidRPr="007D017B" w:rsidRDefault="007D017B">
      <w:pPr>
        <w:tabs>
          <w:tab w:val="left" w:pos="3221"/>
        </w:tabs>
        <w:ind w:firstLine="26"/>
        <w:rPr>
          <w:rFonts w:ascii="Times New Roman" w:hAnsi="Times New Roman" w:cs="Times New Roman"/>
          <w:color w:val="000000"/>
          <w:sz w:val="28"/>
          <w:szCs w:val="28"/>
        </w:rPr>
      </w:pPr>
      <w:r w:rsidRPr="007D017B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муниципального образования</w:t>
      </w:r>
      <w:r w:rsidRPr="007D01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D017B">
        <w:rPr>
          <w:rFonts w:ascii="Times New Roman" w:hAnsi="Times New Roman" w:cs="Times New Roman"/>
          <w:color w:val="000000"/>
          <w:sz w:val="28"/>
          <w:szCs w:val="28"/>
        </w:rPr>
        <w:t xml:space="preserve">  В.М. Богданов</w:t>
      </w:r>
    </w:p>
    <w:sectPr w:rsidR="006D4CC0" w:rsidRPr="007D017B" w:rsidSect="007D017B">
      <w:headerReference w:type="default" r:id="rId9"/>
      <w:footerReference w:type="default" r:id="rId10"/>
      <w:pgSz w:w="12240" w:h="15840"/>
      <w:pgMar w:top="568" w:right="758" w:bottom="456" w:left="1701" w:header="77" w:footer="1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E2A" w:rsidRDefault="003B6E2A">
      <w:r>
        <w:separator/>
      </w:r>
    </w:p>
  </w:endnote>
  <w:endnote w:type="continuationSeparator" w:id="0">
    <w:p w:rsidR="003B6E2A" w:rsidRDefault="003B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0" w:rsidRDefault="003B6E2A">
    <w:pPr>
      <w:pStyle w:val="ad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4.45pt;margin-top:.05pt;width:3.9pt;height:9.2pt;z-index: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" stroked="f">
          <v:fill opacity="0"/>
          <v:textbox inset="0,0,0,0">
            <w:txbxContent>
              <w:p w:rsidR="006D4CC0" w:rsidRDefault="006D4CC0">
                <w:pPr>
                  <w:pStyle w:val="ad"/>
                </w:pP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E2A" w:rsidRDefault="003B6E2A">
      <w:r>
        <w:separator/>
      </w:r>
    </w:p>
  </w:footnote>
  <w:footnote w:type="continuationSeparator" w:id="0">
    <w:p w:rsidR="003B6E2A" w:rsidRDefault="003B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0" w:rsidRDefault="006D4CC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5CB7"/>
    <w:multiLevelType w:val="hybridMultilevel"/>
    <w:tmpl w:val="21F03D28"/>
    <w:lvl w:ilvl="0" w:tplc="9DE4CAD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C5ECFE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2EAAEA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D681AE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C76079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6F58F74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F40CB32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82C66A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12A50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CC0"/>
    <w:rsid w:val="003B6E2A"/>
    <w:rsid w:val="006D4CC0"/>
    <w:rsid w:val="007D017B"/>
    <w:rsid w:val="00E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  <w:tabs>
        <w:tab w:val="center" w:pos="4819"/>
        <w:tab w:val="right" w:pos="9638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1">
    <w:name w:val="WW-WW8Num1ztrue1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1">
    <w:name w:val="WW-WW8Num1ztrue1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1">
    <w:name w:val="WW-WW8Num1ztrue1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ztrue1234567111">
    <w:name w:val="WW-WW8Num1ztrue1234567111"/>
  </w:style>
  <w:style w:type="character" w:customStyle="1" w:styleId="WW-WW8Num1ztrue111111">
    <w:name w:val="WW-WW8Num1ztrue1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ztrue12345671111">
    <w:name w:val="WW-WW8Num1ztrue12345671111"/>
  </w:style>
  <w:style w:type="character" w:customStyle="1" w:styleId="WW-WW8Num1ztrue1111111">
    <w:name w:val="WW-WW8Num1ztrue1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ztrue123456711111">
    <w:name w:val="WW-WW8Num1ztrue123456711111"/>
  </w:style>
  <w:style w:type="character" w:customStyle="1" w:styleId="WW-WW8Num1ztrue11111111">
    <w:name w:val="WW-WW8Num1ztrue1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  <w:rPr>
      <w:rFonts w:cs="Mangal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fc"/>
  </w:style>
  <w:style w:type="paragraph" w:customStyle="1" w:styleId="32">
    <w:name w:val="Основной текст (3)"/>
    <w:basedOn w:val="a"/>
    <w:rsid w:val="007D017B"/>
    <w:pPr>
      <w:widowControl/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14">
    <w:name w:val="Заголовок №1"/>
    <w:basedOn w:val="a"/>
    <w:rsid w:val="007D017B"/>
    <w:pPr>
      <w:widowControl/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</w:rPr>
  </w:style>
  <w:style w:type="paragraph" w:customStyle="1" w:styleId="15">
    <w:name w:val="Основной текст1"/>
    <w:basedOn w:val="a"/>
    <w:rsid w:val="007D017B"/>
    <w:pPr>
      <w:widowControl/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bvm</dc:creator>
  <cp:lastModifiedBy>Галина А. Семенова</cp:lastModifiedBy>
  <cp:revision>18</cp:revision>
  <cp:lastPrinted>2024-11-12T09:20:00Z</cp:lastPrinted>
  <dcterms:created xsi:type="dcterms:W3CDTF">2008-09-10T10:09:00Z</dcterms:created>
  <dcterms:modified xsi:type="dcterms:W3CDTF">2024-11-12T09:24:00Z</dcterms:modified>
  <cp:version>786432</cp:version>
</cp:coreProperties>
</file>