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6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28.01.2016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81-п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 проведении районного смотра-конкурса хоровых, вокальных коллективов, солистов «Фестиваль песни», посвященного 75-летию образования Сланцевского района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С целью поддержки творческих инициатив населения, развития социальной активности и творческого потенциала детей, администрация Сланцевского муниципального района   п о с т а н о в л я е т:</w:t>
      </w:r>
    </w:p>
    <w:p>
      <w:pPr>
        <w:pStyle w:val="Style12"/>
        <w:rPr/>
      </w:pPr>
      <w:r>
        <w:rPr/>
        <w:t>1. Комитету по культуре, спорту и молодежной политике организовать подготовку и проведение районного смотра-конкурса хоровых, вокальных коллективов, солистов «Фестиваль песни», посвященного 75-летию образования Сланцевского района.</w:t>
      </w:r>
    </w:p>
    <w:p>
      <w:pPr>
        <w:pStyle w:val="Style12"/>
        <w:rPr/>
      </w:pPr>
      <w:r>
        <w:rPr/>
        <w:t>2. Утвердить Положение о проведении районного смотра-конкурса хоровых, вокальных коллективов, солистов «Фестиваль песни», посвященного 75-летию образования Сланцевского района согласно приложению.</w:t>
      </w:r>
    </w:p>
    <w:p>
      <w:pPr>
        <w:pStyle w:val="Style12"/>
        <w:rPr/>
      </w:pPr>
      <w:r>
        <w:rPr/>
        <w:t>3. Опубликовать Положение о проведении районного смотра-конкурса хоровых, вокальных коллективов, солистов «Фестиваль песни», посвященного 75-летию образования Сланцевского района в газете «Знамя труда» и разместить на сайте администрации Сланцевского муниципального района.</w:t>
      </w:r>
    </w:p>
    <w:p>
      <w:pPr>
        <w:pStyle w:val="Style12"/>
        <w:rPr/>
      </w:pPr>
      <w:r>
        <w:rPr/>
        <w:t>4. Контроль за исполнением постановления возложить на заместителя главы администрации Сланцевского муниципального района Саитгареева Р.М.</w:t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  <w:t xml:space="preserve">И.о. главы администрации </w:t>
      </w:r>
    </w:p>
    <w:p>
      <w:pPr>
        <w:pStyle w:val="Style12"/>
        <w:ind w:left="0" w:right="0" w:hanging="0"/>
        <w:rPr/>
      </w:pPr>
      <w:r>
        <w:rPr/>
        <w:t>муниципального образования                                                                   П.В. Порин</w:t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Style12"/>
        <w:ind w:left="0" w:right="0" w:hanging="0"/>
        <w:rPr/>
      </w:pPr>
      <w:r>
        <w:rPr/>
      </w:r>
    </w:p>
    <w:p>
      <w:pPr>
        <w:pStyle w:val="Normal"/>
        <w:pageBreakBefore/>
        <w:widowControl w:val="false"/>
        <w:suppressAutoHyphens w:val="true"/>
        <w:bidi w:val="0"/>
        <w:spacing w:lineRule="atLeast" w:line="115" w:before="0" w:after="0"/>
        <w:ind w:left="0" w:right="0" w:firstLine="5063"/>
        <w:jc w:val="lef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Normal"/>
        <w:widowControl w:val="false"/>
        <w:suppressAutoHyphens w:val="true"/>
        <w:bidi w:val="0"/>
        <w:spacing w:lineRule="atLeast" w:line="115" w:before="0" w:after="0"/>
        <w:ind w:left="0" w:right="0" w:firstLine="5063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>
      <w:pPr>
        <w:pStyle w:val="Normal"/>
        <w:widowControl w:val="false"/>
        <w:suppressAutoHyphens w:val="true"/>
        <w:bidi w:val="0"/>
        <w:spacing w:lineRule="atLeast" w:line="115" w:before="0" w:after="0"/>
        <w:ind w:left="0" w:right="0" w:firstLine="5063"/>
        <w:jc w:val="left"/>
        <w:rPr>
          <w:sz w:val="24"/>
          <w:szCs w:val="24"/>
        </w:rPr>
      </w:pPr>
      <w:r>
        <w:rPr>
          <w:sz w:val="24"/>
          <w:szCs w:val="24"/>
        </w:rPr>
        <w:t>Сланцевского муниципального района</w:t>
      </w:r>
    </w:p>
    <w:p>
      <w:pPr>
        <w:pStyle w:val="Normal"/>
        <w:widowControl w:val="false"/>
        <w:suppressAutoHyphens w:val="true"/>
        <w:bidi w:val="0"/>
        <w:spacing w:lineRule="atLeast" w:line="115" w:before="0" w:after="0"/>
        <w:ind w:left="0" w:right="0" w:firstLine="5063"/>
        <w:jc w:val="left"/>
        <w:rPr>
          <w:sz w:val="24"/>
          <w:szCs w:val="24"/>
        </w:rPr>
      </w:pPr>
      <w:r>
        <w:rPr>
          <w:sz w:val="24"/>
          <w:szCs w:val="24"/>
        </w:rPr>
        <w:t>от 28.01.2016 № 81-п</w:t>
      </w:r>
    </w:p>
    <w:p>
      <w:pPr>
        <w:pStyle w:val="Normal"/>
        <w:widowControl w:val="false"/>
        <w:suppressAutoHyphens w:val="true"/>
        <w:bidi w:val="0"/>
        <w:spacing w:lineRule="atLeast" w:line="115" w:before="0" w:after="0"/>
        <w:ind w:left="0" w:right="0" w:firstLine="5063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>
      <w:pPr>
        <w:pStyle w:val="Normal"/>
        <w:spacing w:lineRule="atLeast" w:line="115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ПОЛОЖЕНИЕ</w:t>
      </w:r>
    </w:p>
    <w:p>
      <w:pPr>
        <w:pStyle w:val="Normal"/>
        <w:spacing w:before="0" w:after="0"/>
        <w:ind w:left="0" w:right="0" w:firstLine="844"/>
        <w:jc w:val="center"/>
        <w:rPr>
          <w:rFonts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о проведении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районного смотра-конкурса хоровых, вокальных коллективов, солистов «Фестиваль песни», посвященного 75-летию образования Сланцевского района</w:t>
      </w:r>
    </w:p>
    <w:p>
      <w:pPr>
        <w:pStyle w:val="Normal"/>
        <w:spacing w:lineRule="atLeast" w:line="100" w:before="0" w:after="0"/>
        <w:ind w:left="0" w:right="0" w:firstLine="8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4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ОБЩИЕ ПОЛОЖЕНИЯ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>
        <w:rPr>
          <w:rFonts w:cs="Times New Roman"/>
          <w:color w:val="000000"/>
          <w:sz w:val="24"/>
          <w:szCs w:val="24"/>
        </w:rPr>
        <w:t>районного смотра-конкурса хоровых, вокальных коллективов, солистов «Фестиваль песни», посвященного 75-летию образования Сланцевского района</w:t>
      </w:r>
      <w:r>
        <w:rPr>
          <w:rFonts w:cs="Times New Roman"/>
          <w:sz w:val="24"/>
          <w:szCs w:val="24"/>
        </w:rPr>
        <w:t>. (далее – Фестиваль)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 Учредителем Фестиваля является администрация Сланцевского муниципального района.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Организатор Фестиваля: Муниципальное казенное учреждение культуры «Городской Дом культуры» (далее — Городской Дом культуры»).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 Расходы, связанные с подготовкой и проведением Фестиваля осуществляет администрация Сланцевского муниципального района.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Оплата проезда участников Фестиваля производится командирующей стороной.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tLeast" w:line="100" w:before="0" w:after="0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ЦЕЛИ И ЗАДАЧИ ФЕСТИВАЛЯ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Сохранение культурных традиций самодеятельного народного творчества Сланцевского района.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 Фестиваля: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активизация творческой деятельности исполнителей и коллективов;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выявление ярких, талантливых исполнителей и коллективов;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расширение контактов, обмен творческим опытом;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УСЛОВИЯ ПРОВЕДЕНИЯ ФЕСТИВАЛЯ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В фестивале принимают участие: творческие коллективы (ансамбли, студии, хоры); индивидуальные исполнители.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Фестиваль предусматривает две категории участников: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любители (участники кружков, студий, ансамблей и т.д. учреждений образования, дополнительного образования и культуры, жители Сланцевского района, не имеющие музыкального образования и др.);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профессиональные исполнители (преподаватели общеобразовательных школ, учреждений дополнительного образования, занимающихся обучением музыкальным дисциплинам; жители Сланцевского района, имеющие музыкальное образование; работники культуры по профилю деятельности).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Фестиваль предусматривает три возрастные группы участников: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до 14 лет;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молодежь от 15 до 24 лет;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взрослые от 25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Фестиваль проводится по следующим номинациям: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хоровое исполнение;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ансамблевое исполнение;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сольное исполнение.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3.5. На конкурс каждый коллектив или отдельный исполнитель представляет по 2 произведения (номера) в видеозаписи общей продолжительностью не более 7 минут, в том числе одно произведение военно-патриотической направленности (песни о России, о малой Родине), второе - по желанию исполнителя. 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3.6.Участники Фестиваля дают согласие на обработку персональных данных (приложение 1).</w:t>
      </w:r>
    </w:p>
    <w:p>
      <w:pPr>
        <w:pStyle w:val="Normal"/>
        <w:spacing w:lineRule="atLeast" w:line="100" w:before="0" w:after="0"/>
        <w:ind w:left="0" w:right="0" w:firstLine="84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3.7. Оценивает участников жюри в составе ведущих специалистов культуры Ленинградской области. Решение жюри окончательное и обжалованию не подлежит.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ПОРЯДОК ПРОВЕДЕНИЯ ФЕСТИВАЛЯ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Фестиваль проводится в два тура.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 Первый тур (отборочный) проводится в следующем порядке: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Style w:val="Appleconvertedspace"/>
          <w:rFonts w:cs="Times New Roman"/>
          <w:sz w:val="24"/>
          <w:szCs w:val="24"/>
          <w:shd w:fill="FFFFFF" w:val="clear"/>
        </w:rPr>
      </w:pPr>
      <w:r>
        <w:rPr>
          <w:rFonts w:cs="Times New Roman"/>
          <w:sz w:val="24"/>
          <w:szCs w:val="24"/>
        </w:rPr>
        <w:t xml:space="preserve">до 29 февраля 2016 года – подача заявок по форме (приложение 2) и видеозаписей исполняемых произведений </w:t>
      </w:r>
      <w:r>
        <w:rPr>
          <w:rFonts w:cs="Times New Roman"/>
          <w:sz w:val="24"/>
          <w:szCs w:val="24"/>
          <w:shd w:fill="FFFFFF" w:val="clear"/>
        </w:rPr>
        <w:t>в оргкомитет Фестиваля по адресу: г. Сланцы, ул. Ленина д. 5., Городской Дом культуры, кабинет № 24.</w:t>
      </w:r>
      <w:r>
        <w:rPr>
          <w:rStyle w:val="Appleconvertedspace"/>
          <w:rFonts w:cs="Times New Roman"/>
          <w:sz w:val="24"/>
          <w:szCs w:val="24"/>
          <w:shd w:fill="FFFFFF" w:val="clear"/>
        </w:rPr>
        <w:t> 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 5 марта 2016 года – подведение итогов первого тура, информирование конкурсантов о результатах первого тура.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Второй тур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(очный) проводится 12 марта с 10.00 до 18.00 в Городском Доме культуры. Во втором туре участвуют победители 1 тура фестиваля.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4.4. Гала – концерт «Звездный дождь» и награждение победителей Фестиваля состоится 20 марта в 15.00 в Городском Доме культуры. Порядок номеров для гала – концерта определяют члены жюри и режиссерско-постановочная группа фестиваля.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29 февраля 2016 года – подача заявок и видеозаписей исполняемых произведений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4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КРИТЕРИИ ОЦЕНКИ</w:t>
      </w:r>
    </w:p>
    <w:p>
      <w:pPr>
        <w:pStyle w:val="Style12"/>
        <w:rPr>
          <w:sz w:val="24"/>
          <w:szCs w:val="24"/>
        </w:rPr>
      </w:pPr>
      <w:r>
        <w:rPr>
          <w:sz w:val="24"/>
          <w:szCs w:val="24"/>
        </w:rPr>
        <w:t>5.1. Выступление участников Фестиваля оценивается жюри по следующим критериям:</w:t>
      </w:r>
    </w:p>
    <w:p>
      <w:pPr>
        <w:pStyle w:val="Style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чистота интонации и качество звучания;</w:t>
      </w:r>
    </w:p>
    <w:p>
      <w:pPr>
        <w:pStyle w:val="Style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сценическая культура;</w:t>
      </w:r>
    </w:p>
    <w:p>
      <w:pPr>
        <w:pStyle w:val="Style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художественный уровень исполнения;</w:t>
      </w:r>
    </w:p>
    <w:p>
      <w:pPr>
        <w:pStyle w:val="Style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соответствие репертуара возрастным особенностям исполнителя (-ей).</w:t>
      </w:r>
    </w:p>
    <w:p>
      <w:pPr>
        <w:pStyle w:val="Style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соответствие сценического костюма исполняемому произведению.</w:t>
      </w:r>
    </w:p>
    <w:p>
      <w:pPr>
        <w:pStyle w:val="Style12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 Оценка каждой работы производится членом конкурсной комиссии в форме оценочного листа  </w:t>
      </w:r>
      <w:r>
        <w:rPr>
          <w:rFonts w:cs="Times New Roman"/>
          <w:bCs/>
          <w:sz w:val="24"/>
          <w:szCs w:val="24"/>
        </w:rPr>
        <w:t>(приложение 3).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4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НАГРАЖДЕНИЕ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Победители Фестиваля награждаются Дипломами обладателя «Гран-при» в каждой номинации, возрастной группе, категории.   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участники Фестиваля награждаются Дипломами за участие.</w:t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ind w:left="0" w:right="0" w:firstLine="8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Контактное лицо: Сараев Роман Викторович –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художественный руководитель Городского Дома культуры. Телефон: 8(81374) 2-43-55.</w:t>
      </w:r>
    </w:p>
    <w:p>
      <w:pPr>
        <w:pStyle w:val="Normal"/>
        <w:spacing w:lineRule="atLeast" w:line="100" w:before="0" w:after="0"/>
        <w:ind w:left="0" w:right="0" w:firstLine="8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spacing w:before="0" w:after="0"/>
        <w:contextualSpacing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1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районном смотре – конкурсе 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хоровых, вокальных коллективов, солистов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«Фестиваль песни»  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Я, ______________________________________________________________</w:t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(фамилия, имя, отчество)</w:t>
      </w:r>
    </w:p>
    <w:p>
      <w:pPr>
        <w:pStyle w:val="Normal"/>
        <w:spacing w:before="0" w:after="0"/>
        <w:ind w:left="0" w:right="0"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даю согласие 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 </w:t>
      </w:r>
      <w:r>
        <w:rPr>
          <w:rFonts w:cs="Times New Roman"/>
          <w:color w:val="000000"/>
          <w:sz w:val="24"/>
          <w:szCs w:val="24"/>
        </w:rPr>
        <w:t xml:space="preserve">районном смотре-конкурсе хоровых, вокальных коллективов, солистов «Фестиваль песни», посвященного 75-летию образования Сланцевского района, а именно на совершение действий, предусмотренных пунктом 3 статьи 3 Федерального закона от  </w:t>
      </w:r>
      <w:r>
        <w:rPr>
          <w:rFonts w:cs="Times New Roman"/>
          <w:sz w:val="24"/>
          <w:szCs w:val="24"/>
        </w:rPr>
        <w:t xml:space="preserve">27 июля 2006 года № 152-ФЗ «О персональных данных», со сведениями, предоставленными мной Оргкомитет </w:t>
      </w:r>
      <w:r>
        <w:rPr>
          <w:rFonts w:cs="Times New Roman"/>
          <w:color w:val="000000"/>
          <w:sz w:val="24"/>
          <w:szCs w:val="24"/>
        </w:rPr>
        <w:t xml:space="preserve">районного смотра-конкурса хоровых, вокальных коллективов, солистов «Фестиваль песни», посвященного 75-летию образования Сланцевского района согласен (на) на передачу вышеперечисленных данных. </w:t>
      </w:r>
    </w:p>
    <w:p>
      <w:pPr>
        <w:pStyle w:val="Normal"/>
        <w:spacing w:before="0" w:after="0"/>
        <w:ind w:left="0" w:right="0"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   ________________________</w:t>
      </w:r>
    </w:p>
    <w:p>
      <w:pPr>
        <w:pStyle w:val="Normal"/>
        <w:spacing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ab/>
        <w:tab/>
        <w:tab/>
        <w:tab/>
        <w:tab/>
        <w:t xml:space="preserve">   (подпись)                (фамилия и инициалы)</w:t>
      </w:r>
    </w:p>
    <w:p>
      <w:pPr>
        <w:pStyle w:val="Normal"/>
        <w:spacing w:before="0" w:after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  _____________ 20__г.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/>
        <w:spacing w:before="0" w:after="0"/>
        <w:contextualSpacing/>
        <w:jc w:val="center"/>
        <w:rPr>
          <w:rFonts w:cs="Times New Roman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5</w:t>
      </w:r>
    </w:p>
    <w:p>
      <w:pPr>
        <w:pStyle w:val="Normal"/>
        <w:spacing w:before="0" w:after="0"/>
        <w:contextualSpacing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2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районном смотре – конкурсе 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хоровых, вокальных коллективов, солистов</w:t>
      </w:r>
    </w:p>
    <w:p>
      <w:pPr>
        <w:pStyle w:val="Normal"/>
        <w:spacing w:before="0" w:after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«Фестиваль песни»  </w:t>
      </w:r>
    </w:p>
    <w:p>
      <w:pPr>
        <w:pStyle w:val="Normal"/>
        <w:spacing w:lineRule="atLeast" w:line="10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Анкета – заявка</w:t>
      </w:r>
    </w:p>
    <w:p>
      <w:pPr>
        <w:pStyle w:val="Normal"/>
        <w:tabs>
          <w:tab w:val="left" w:pos="1140" w:leader="none"/>
          <w:tab w:val="center" w:pos="4677" w:leader="none"/>
        </w:tabs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ab/>
        <w:tab/>
        <w:t xml:space="preserve">Участника </w:t>
      </w:r>
      <w:r>
        <w:rPr>
          <w:rFonts w:cs="Times New Roman"/>
          <w:color w:val="000000"/>
          <w:sz w:val="24"/>
          <w:szCs w:val="24"/>
        </w:rPr>
        <w:t>районного смотра-конкурса хоровых,</w:t>
      </w:r>
    </w:p>
    <w:p>
      <w:pPr>
        <w:pStyle w:val="Normal"/>
        <w:spacing w:lineRule="atLeast" w:line="100" w:before="0" w:after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вокальных коллективов, солистов</w:t>
      </w:r>
    </w:p>
    <w:p>
      <w:pPr>
        <w:pStyle w:val="Normal"/>
        <w:spacing w:lineRule="atLeast" w:line="100" w:before="0" w:after="0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«Фестиваль песни»,</w:t>
      </w:r>
    </w:p>
    <w:p>
      <w:pPr>
        <w:pStyle w:val="Normal"/>
        <w:spacing w:lineRule="atLeast" w:line="100" w:before="0" w:after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посвященного 75-летию образования Сланцевского района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 Ф.И.О. исполнителя, дата рождения. Для хора, ансамбля: название коллектива, возрастная группа, количество участников. 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Учреждение, в котором базируется (работает) исполнитель (коллектив)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Ф.И.О. руководителя, звания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Информация об исполнителе (коллективе) для представления на сцене (кратко)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100" w:before="0"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Программа выступления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48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38"/>
        <w:gridCol w:w="2961"/>
        <w:gridCol w:w="2402"/>
        <w:gridCol w:w="1893"/>
        <w:gridCol w:w="1844"/>
      </w:tblGrid>
      <w:tr>
        <w:trPr>
          <w:cantSplit w:val="true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Авторы (обязательно)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Технический райдер</w:t>
            </w:r>
          </w:p>
        </w:tc>
      </w:tr>
      <w:tr>
        <w:trPr>
          <w:cantSplit w:val="true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tLeast" w:line="10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Контактная информация:  тел/факс,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spacing w:lineRule="atLeast" w:line="100" w:before="0"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 условиями конкурса согласен.</w:t>
      </w:r>
    </w:p>
    <w:p>
      <w:pPr>
        <w:pStyle w:val="Normal"/>
        <w:spacing w:before="0"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использование Городским Домом культуры видеоматериалов коллектива (исполнителя)  </w:t>
      </w:r>
      <w:r>
        <w:rPr>
          <w:rFonts w:eastAsia="Calibri" w:cs="Times New Roman"/>
          <w:sz w:val="24"/>
          <w:szCs w:val="24"/>
        </w:rPr>
        <w:t>согласен.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Подпись, дата</w:t>
      </w:r>
    </w:p>
    <w:p>
      <w:pPr>
        <w:pStyle w:val="Normal"/>
        <w:pageBreakBefore/>
        <w:spacing w:before="0" w:after="0"/>
        <w:contextualSpacing/>
        <w:jc w:val="center"/>
        <w:rPr>
          <w:rFonts w:cs="Times New Roman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6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8763"/>
        <w:contextualSpacing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Приложение  3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8763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  <w:lang w:eastAsia="ru-RU"/>
        </w:rPr>
        <w:t xml:space="preserve">к Положению </w:t>
      </w:r>
      <w:r>
        <w:rPr>
          <w:rFonts w:cs="Times New Roman"/>
          <w:i/>
          <w:sz w:val="24"/>
          <w:szCs w:val="24"/>
        </w:rPr>
        <w:t xml:space="preserve">о районном смотре – конкурсе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8763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хоровых, вокальных коллективов, солистов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8763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«Фестиваль песни»  </w:t>
      </w:r>
    </w:p>
    <w:p>
      <w:pPr>
        <w:pStyle w:val="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0" w:right="0"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ОЦЕНОЧНЫЙ  ЛИСТ</w:t>
      </w:r>
    </w:p>
    <w:p>
      <w:pPr>
        <w:pStyle w:val="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Члена конкурсной комиссии </w:t>
      </w:r>
      <w:r>
        <w:rPr>
          <w:rFonts w:cs="Times New Roman"/>
          <w:color w:val="000000"/>
          <w:sz w:val="24"/>
          <w:szCs w:val="24"/>
        </w:rPr>
        <w:t xml:space="preserve">районного смотра-конкурса хоровых, вокальных коллективов, солистов </w:t>
      </w:r>
      <w:r>
        <w:rPr>
          <w:rFonts w:cs="Times New Roman"/>
          <w:b/>
          <w:color w:val="000000"/>
          <w:sz w:val="24"/>
          <w:szCs w:val="24"/>
        </w:rPr>
        <w:t>«Фестиваль песни»</w:t>
      </w:r>
      <w:r>
        <w:rPr>
          <w:rFonts w:cs="Times New Roman"/>
          <w:color w:val="000000"/>
          <w:sz w:val="24"/>
          <w:szCs w:val="24"/>
        </w:rPr>
        <w:t>, посвященного 75-летию образования Сланцевского района.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pict>
          <v:rect fillcolor="#FFFFFF" strokecolor="#000000" strokeweight="0pt" style="position:absolute;width:769.9pt;height:222.1pt;mso-wrap-distance-left:0pt;mso-wrap-distance-right:0pt;mso-wrap-distance-top:0pt;mso-wrap-distance-bottom:0pt;margin-top:4.75pt;margin-left:0.05pt">
            <v:textbox inset="0in,0in,0in,0in">
              <w:txbxContent>
                <w:tbl>
                  <w:tblPr>
                    <w:jc w:val="left"/>
                    <w:tblInd w:w="107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531"/>
                    <w:gridCol w:w="2813"/>
                    <w:gridCol w:w="2139"/>
                    <w:gridCol w:w="2263"/>
                    <w:gridCol w:w="2296"/>
                    <w:gridCol w:w="2122"/>
                    <w:gridCol w:w="1986"/>
                    <w:gridCol w:w="2"/>
                    <w:gridCol w:w="1244"/>
                  </w:tblGrid>
                  <w:tr>
                    <w:trPr>
                      <w:trHeight w:val="684" w:hRule="atLeast"/>
                      <w:cantSplit w:val="false"/>
                    </w:trPr>
                    <w:tc>
                      <w:tcPr>
                        <w:tcW w:w="53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2813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  <w:t>Фамилия, имя конкурсанта, название произведения.</w:t>
                        </w:r>
                      </w:p>
                    </w:tc>
                    <w:tc>
                      <w:tcPr>
                        <w:tcW w:w="10808" w:type="dxa"/>
                        <w:gridSpan w:val="6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  <w:t>Критерии и оценки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(представленная программа в первом туре, произведение во втором туре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jc w:val="center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оцениваются по пятибалльной системе)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b/>
                            <w:sz w:val="28"/>
                            <w:szCs w:val="24"/>
                            <w:lang w:eastAsia="en-US"/>
                          </w:rPr>
                          <w:t>Сумма баллов</w:t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531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2813" w:type="dxa"/>
                        <w:vMerge w:val="continue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4"/>
                            <w:lang w:eastAsia="en-US"/>
                          </w:rPr>
                          <w:t>Чистота интонации и качество звучания.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Сценическая культура.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Художественный уровень исполнения.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Соответствие сценического костюма к исполняемому произведению.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Соответствие репертуара возрастным особенностям исполнителей.</w:t>
                        </w:r>
                      </w:p>
                    </w:tc>
                    <w:tc>
                      <w:tcPr>
                        <w:tcW w:w="1246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5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1.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246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5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2.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246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  <w:tr>
                    <w:trPr>
                      <w:trHeight w:val="612" w:hRule="atLeast"/>
                      <w:cantSplit w:val="false"/>
                    </w:trPr>
                    <w:tc>
                      <w:tcPr>
                        <w:tcW w:w="5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4"/>
                            <w:lang w:eastAsia="en-US"/>
                          </w:rPr>
                          <w:t>3.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Times New Roman"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  <w:tc>
                      <w:tcPr>
                        <w:tcW w:w="1246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4"/>
                            <w:lang w:eastAsia="en-US"/>
                          </w:rPr>
                        </w:r>
                      </w:p>
                    </w:tc>
                  </w:tr>
                </w:tbl>
                <w:p>
                  <w:pPr>
                    <w:pStyle w:val="Style24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   ________________________</w:t>
      </w:r>
    </w:p>
    <w:p>
      <w:pPr>
        <w:pStyle w:val="Normal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(подпись)                (фамилия и инициалы)</w:t>
      </w:r>
    </w:p>
    <w:p>
      <w:pPr>
        <w:pStyle w:val="Normal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  _____________ 20__г.</w:t>
      </w:r>
    </w:p>
    <w:p>
      <w:pPr>
        <w:pStyle w:val="Normal"/>
        <w:ind w:left="0" w:right="0" w:hanging="0"/>
        <w:rPr/>
      </w:pPr>
      <w:r>
        <w:rPr/>
      </w:r>
    </w:p>
    <w:sectPr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720" w:right="720" w:header="0" w:top="142" w:footer="708" w:bottom="765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rPr/>
  </w:style>
  <w:style w:type="character" w:styleId="Appleconvertedspace">
    <w:name w:val="apple-converted-space"/>
    <w:basedOn w:val="DefaultParagraphFont"/>
    <w:rPr/>
  </w:style>
  <w:style w:type="character" w:styleId="ListLabel10">
    <w:name w:val="ListLabel 10"/>
    <w:rPr>
      <w:b/>
    </w:rPr>
  </w:style>
  <w:style w:type="character" w:styleId="ListLabel11">
    <w:name w:val="ListLabel 11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Style24">
    <w:name w:val="Содержимое врезки"/>
    <w:basedOn w:val="Normal"/>
    <w:pPr/>
    <w:rPr/>
  </w:style>
  <w:style w:type="paragraph" w:styleId="Style25">
    <w:name w:val="Цитата"/>
    <w:basedOn w:val="Normal"/>
    <w:pPr>
      <w:spacing w:before="0" w:after="283"/>
      <w:ind w:left="567" w:right="567" w:hanging="0"/>
    </w:pPr>
    <w:rPr/>
  </w:style>
  <w:style w:type="paragraph" w:styleId="Style26">
    <w:name w:val="Заглавие"/>
    <w:basedOn w:val="Style11"/>
    <w:pPr>
      <w:jc w:val="center"/>
    </w:pPr>
    <w:rPr>
      <w:b/>
      <w:bCs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6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2016-01-28T09:53:46Z</dcterms:created>
  <dc:language>ru-RU</dc:language>
  <cp:lastPrinted>2016-01-28T10:00:27Z</cp:lastPrinted>
  <dcterms:modified xsi:type="dcterms:W3CDTF">2016-01-28T10:00:30Z</dcterms:modified>
  <cp:revision>3</cp:revision>
  <dc:title>шаблон постновления</dc:title>
</cp:coreProperties>
</file>