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 xml:space="preserve">20.12.2024   №   44</w:t>
            </w:r>
            <w:r>
              <w:rPr>
                <w:sz w:val="24"/>
                <w:szCs w:val="24"/>
              </w:rPr>
              <w:t xml:space="preserve">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</w:t>
            </w:r>
            <w:r>
              <w:rPr>
                <w:sz w:val="24"/>
                <w:szCs w:val="24"/>
              </w:rPr>
              <w:t xml:space="preserve">ии решения совета депутатов от 19.03.2024 № 59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и расходования средств иных межбюджетных трансфертов</w:t>
      </w:r>
      <w:r>
        <w:rPr>
          <w:b/>
          <w:bCs/>
          <w:sz w:val="24"/>
          <w:szCs w:val="24"/>
        </w:rPr>
        <w:br/>
        <w:t xml:space="preserve">бюджетам муниципальных образований поселений на </w:t>
      </w:r>
      <w:r>
        <w:rPr>
          <w:b/>
          <w:sz w:val="24"/>
          <w:szCs w:val="24"/>
        </w:rPr>
        <w:t xml:space="preserve">финансовое обеспечение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проведения и </w:t>
      </w:r>
      <w:r>
        <w:rPr>
          <w:b/>
          <w:sz w:val="24"/>
          <w:szCs w:val="24"/>
        </w:rPr>
        <w:t xml:space="preserve">участия в </w:t>
      </w:r>
      <w:r>
        <w:rPr>
          <w:b/>
          <w:sz w:val="24"/>
          <w:szCs w:val="24"/>
        </w:rPr>
        <w:t xml:space="preserve">спортивных мероприятиях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</w:t>
      </w:r>
      <w:r>
        <w:rPr>
          <w:sz w:val="24"/>
          <w:szCs w:val="24"/>
        </w:rPr>
        <w:t xml:space="preserve">оссийской Федерации и устанавливает цели и условия предоставления и расходования </w:t>
      </w:r>
      <w:r>
        <w:rPr>
          <w:sz w:val="24"/>
          <w:szCs w:val="24"/>
        </w:rPr>
        <w:t xml:space="preserve">в 2025 году </w:t>
      </w:r>
      <w:r>
        <w:rPr>
          <w:sz w:val="24"/>
          <w:szCs w:val="24"/>
        </w:rPr>
        <w:t xml:space="preserve">средств иных межбюджетных трансфертов бюджетам муниципальных образований поселений на финансовое обеспечение </w:t>
      </w:r>
      <w:r>
        <w:rPr>
          <w:sz w:val="24"/>
          <w:szCs w:val="24"/>
        </w:rPr>
        <w:t xml:space="preserve">проведения и участия в спортивных мероприятиях </w:t>
      </w:r>
      <w:r>
        <w:rPr>
          <w:sz w:val="24"/>
          <w:szCs w:val="24"/>
        </w:rPr>
        <w:t xml:space="preserve">(далее – межбюджетные трансферты).</w:t>
      </w:r>
      <w:r>
        <w:rPr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 в целях обеспечения </w:t>
      </w:r>
      <w:r>
        <w:rPr>
          <w:sz w:val="24"/>
          <w:szCs w:val="24"/>
        </w:rPr>
        <w:t xml:space="preserve">проведения и участия в спортивных мероприятиях </w:t>
      </w:r>
      <w:r>
        <w:rPr>
          <w:sz w:val="24"/>
          <w:szCs w:val="24"/>
        </w:rPr>
        <w:t xml:space="preserve">при соблюдении 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</w:t>
      </w:r>
      <w:r>
        <w:rPr>
          <w:sz w:val="24"/>
          <w:szCs w:val="24"/>
        </w:rPr>
        <w:t xml:space="preserve">утвержденного </w:t>
      </w:r>
      <w:r>
        <w:rPr>
          <w:bCs/>
          <w:spacing w:val="-3"/>
          <w:sz w:val="24"/>
          <w:szCs w:val="24"/>
        </w:rPr>
        <w:t xml:space="preserve">плана по проведению </w:t>
      </w:r>
      <w:r>
        <w:rPr>
          <w:bCs/>
          <w:spacing w:val="-3"/>
          <w:sz w:val="24"/>
          <w:szCs w:val="24"/>
        </w:rPr>
        <w:t xml:space="preserve">и участию в </w:t>
      </w:r>
      <w:r>
        <w:rPr>
          <w:bCs/>
          <w:spacing w:val="-3"/>
          <w:sz w:val="24"/>
          <w:szCs w:val="24"/>
        </w:rPr>
        <w:t xml:space="preserve">спортивных мероприяти</w:t>
      </w:r>
      <w:r>
        <w:rPr>
          <w:bCs/>
          <w:spacing w:val="-3"/>
          <w:sz w:val="24"/>
          <w:szCs w:val="24"/>
        </w:rPr>
        <w:t xml:space="preserve">ях</w:t>
      </w:r>
      <w:r>
        <w:rPr>
          <w:bCs/>
          <w:spacing w:val="-3"/>
          <w:sz w:val="24"/>
          <w:szCs w:val="24"/>
        </w:rPr>
        <w:t xml:space="preserve">, включающего </w:t>
      </w:r>
      <w:r>
        <w:rPr>
          <w:sz w:val="24"/>
          <w:szCs w:val="24"/>
        </w:rPr>
        <w:t xml:space="preserve">спортивные мероприятия</w:t>
      </w:r>
      <w:r>
        <w:rPr>
          <w:sz w:val="24"/>
          <w:szCs w:val="24"/>
        </w:rPr>
        <w:t xml:space="preserve">, являющиеся этапами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чемпионатов, первенств и иных </w:t>
      </w:r>
      <w:r>
        <w:rPr>
          <w:sz w:val="24"/>
          <w:szCs w:val="24"/>
        </w:rPr>
        <w:t xml:space="preserve">соревнований</w:t>
      </w:r>
      <w:r>
        <w:rPr>
          <w:sz w:val="24"/>
          <w:szCs w:val="24"/>
        </w:rPr>
        <w:t xml:space="preserve"> регионального или федерального </w:t>
      </w:r>
      <w:r>
        <w:rPr>
          <w:sz w:val="24"/>
          <w:szCs w:val="24"/>
        </w:rPr>
        <w:t xml:space="preserve">уровня</w:t>
      </w:r>
      <w:r>
        <w:rPr>
          <w:sz w:val="24"/>
          <w:szCs w:val="24"/>
        </w:rPr>
        <w:t xml:space="preserve"> (далее – спортивные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 xml:space="preserve">регионального или федерального уровня</w:t>
      </w:r>
      <w:r>
        <w:rPr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сметного расчета на</w:t>
      </w:r>
      <w:r>
        <w:t xml:space="preserve"> </w:t>
      </w:r>
      <w:r>
        <w:rPr>
          <w:sz w:val="24"/>
          <w:szCs w:val="24"/>
        </w:rPr>
        <w:t xml:space="preserve">проведение и участие в спортивных </w:t>
      </w:r>
      <w:r>
        <w:rPr>
          <w:sz w:val="24"/>
          <w:szCs w:val="24"/>
        </w:rPr>
        <w:t xml:space="preserve">мероприятиях регионального или федерального уровня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 xml:space="preserve">h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t xml:space="preserve">ki</w:t>
      </w:r>
      <w:r>
        <w:rPr>
          <w:sz w:val="24"/>
          <w:szCs w:val="24"/>
        </w:rPr>
        <w:t xml:space="preserve"> , где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</w:t>
      </w:r>
      <w:r>
        <w:rPr>
          <w:sz w:val="24"/>
          <w:szCs w:val="24"/>
        </w:rPr>
        <w:t xml:space="preserve">проведения и участия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спортивных мероприятиях регионального или федерального уровня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– объем расходов бюджета i-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муниципального образования на </w:t>
      </w:r>
      <w:r>
        <w:rPr>
          <w:sz w:val="24"/>
          <w:szCs w:val="24"/>
        </w:rPr>
        <w:t xml:space="preserve">проведение и участие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спортивных мероприятиях регионального или федерального уровня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– коэффициент, учитывающий наличие </w:t>
      </w:r>
      <w:r>
        <w:rPr>
          <w:sz w:val="24"/>
          <w:szCs w:val="24"/>
        </w:rPr>
        <w:t xml:space="preserve">утвержденного </w:t>
      </w:r>
      <w:r>
        <w:rPr>
          <w:bCs/>
          <w:spacing w:val="-3"/>
          <w:sz w:val="24"/>
          <w:szCs w:val="24"/>
        </w:rPr>
        <w:t xml:space="preserve">плана </w:t>
      </w:r>
      <w:r>
        <w:rPr>
          <w:bCs/>
          <w:spacing w:val="-3"/>
          <w:sz w:val="24"/>
          <w:szCs w:val="24"/>
        </w:rPr>
        <w:t xml:space="preserve">по проведению и участию в спортивных мероприятиях, включающего спортивные мероприятия, являющиеся этапами проведения чемпионатов, первенств и иных соревнований регионального или федерального уровня (далее – </w:t>
      </w:r>
      <w:r>
        <w:rPr>
          <w:sz w:val="24"/>
          <w:szCs w:val="24"/>
        </w:rPr>
        <w:t xml:space="preserve">утвержденн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план по проведению и участию в спортивных мероприятиях</w:t>
      </w:r>
      <w:r>
        <w:rPr>
          <w:bCs/>
          <w:spacing w:val="-3"/>
          <w:sz w:val="24"/>
          <w:szCs w:val="24"/>
        </w:rPr>
        <w:t xml:space="preserve">)</w:t>
      </w:r>
      <w:r>
        <w:rPr>
          <w:bCs/>
          <w:spacing w:val="-3"/>
          <w:sz w:val="24"/>
          <w:szCs w:val="24"/>
        </w:rPr>
        <w:t xml:space="preserve">. Коэффициент </w:t>
      </w: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0, если у поселения отсутству</w:t>
      </w:r>
      <w:r>
        <w:rPr>
          <w:bCs/>
          <w:spacing w:val="-3"/>
          <w:sz w:val="24"/>
          <w:szCs w:val="24"/>
        </w:rPr>
        <w:t xml:space="preserve">е</w:t>
      </w:r>
      <w:r>
        <w:rPr>
          <w:bCs/>
          <w:spacing w:val="-3"/>
          <w:sz w:val="24"/>
          <w:szCs w:val="24"/>
        </w:rPr>
        <w:t xml:space="preserve">т </w:t>
      </w:r>
      <w:r>
        <w:rPr>
          <w:sz w:val="24"/>
          <w:szCs w:val="24"/>
        </w:rPr>
        <w:t xml:space="preserve">утвержденный </w:t>
      </w:r>
      <w:r>
        <w:rPr>
          <w:bCs/>
          <w:spacing w:val="-3"/>
          <w:sz w:val="24"/>
          <w:szCs w:val="24"/>
        </w:rPr>
        <w:t xml:space="preserve">план </w:t>
      </w:r>
      <w:r>
        <w:rPr>
          <w:bCs/>
          <w:spacing w:val="-3"/>
          <w:sz w:val="24"/>
          <w:szCs w:val="24"/>
        </w:rPr>
        <w:t xml:space="preserve">по проведению и участию в спортивных мероприятиях</w:t>
      </w:r>
      <w:r>
        <w:rPr>
          <w:bCs/>
          <w:spacing w:val="-3"/>
          <w:sz w:val="24"/>
          <w:szCs w:val="24"/>
        </w:rPr>
        <w:t xml:space="preserve">, принимается равным 1, если у поселения име</w:t>
      </w:r>
      <w:r>
        <w:rPr>
          <w:bCs/>
          <w:spacing w:val="-3"/>
          <w:sz w:val="24"/>
          <w:szCs w:val="24"/>
        </w:rPr>
        <w:t xml:space="preserve">е</w:t>
      </w:r>
      <w:r>
        <w:rPr>
          <w:bCs/>
          <w:spacing w:val="-3"/>
          <w:sz w:val="24"/>
          <w:szCs w:val="24"/>
        </w:rPr>
        <w:t xml:space="preserve">тся </w:t>
      </w:r>
      <w:r>
        <w:rPr>
          <w:sz w:val="24"/>
          <w:szCs w:val="24"/>
        </w:rPr>
        <w:t xml:space="preserve">утвержденный </w:t>
      </w:r>
      <w:r>
        <w:rPr>
          <w:bCs/>
          <w:spacing w:val="-3"/>
          <w:sz w:val="24"/>
          <w:szCs w:val="24"/>
        </w:rPr>
        <w:t xml:space="preserve">план </w:t>
      </w:r>
      <w:r>
        <w:rPr>
          <w:bCs/>
          <w:spacing w:val="-3"/>
          <w:sz w:val="24"/>
          <w:szCs w:val="24"/>
        </w:rPr>
        <w:t xml:space="preserve">по проведению и участию в спортивных мероприятиях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ki</w:t>
      </w:r>
      <w:r>
        <w:rPr>
          <w:bCs/>
          <w:spacing w:val="-3"/>
          <w:sz w:val="24"/>
          <w:szCs w:val="24"/>
        </w:rPr>
        <w:t xml:space="preserve"> – коэффициент типа муниципального образования (принимается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0 для городского поселения, принимается равным 1 для сельского поселения).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 Перечисление межбюджетных трансфертов осуществляется комитетом финансов в соответствии со сводной бюджетной роспис</w:t>
      </w:r>
      <w:r>
        <w:rPr>
          <w:sz w:val="24"/>
          <w:szCs w:val="24"/>
        </w:rPr>
        <w:t xml:space="preserve">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 Администрации муниципальных образований </w:t>
      </w:r>
      <w:r>
        <w:rPr>
          <w:sz w:val="24"/>
          <w:szCs w:val="24"/>
        </w:rPr>
        <w:t xml:space="preserve">поселений</w:t>
      </w:r>
      <w:r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поселений предоставляют в комитет </w:t>
      </w:r>
      <w:r>
        <w:rPr>
          <w:sz w:val="24"/>
          <w:szCs w:val="24"/>
        </w:rPr>
        <w:t xml:space="preserve">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обеспечение </w:t>
      </w:r>
      <w:r>
        <w:rPr>
          <w:sz w:val="24"/>
          <w:szCs w:val="24"/>
        </w:rPr>
        <w:t xml:space="preserve">проведения и участия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спортивны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х</w:t>
      </w:r>
      <w:bookmarkStart w:id="0" w:name="_GoBack"/>
      <w:r/>
      <w:bookmarkEnd w:id="0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</w:t>
      </w:r>
      <w:r>
        <w:rPr>
          <w:sz w:val="24"/>
          <w:szCs w:val="24"/>
        </w:rPr>
        <w:t xml:space="preserve">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26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65"/>
    <w:link w:val="69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widowControl w:val="off"/>
    </w:p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65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6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basedOn w:val="66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basedOn w:val="66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6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6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6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6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6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6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basedOn w:val="66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basedOn w:val="66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basedOn w:val="66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basedOn w:val="66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basedOn w:val="66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basedOn w:val="66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basedOn w:val="66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basedOn w:val="66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basedOn w:val="66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basedOn w:val="66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basedOn w:val="66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basedOn w:val="66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6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5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5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5"/>
    <w:next w:val="655"/>
    <w:uiPriority w:val="99"/>
    <w:unhideWhenUsed/>
  </w:style>
  <w:style w:type="paragraph" w:styleId="837" w:customStyle="1">
    <w:name w:val="Heading"/>
    <w:rPr>
      <w:rFonts w:ascii="Arial" w:hAnsi="Arial" w:cs="Arial"/>
      <w:b/>
      <w:bCs/>
      <w:sz w:val="22"/>
      <w:szCs w:val="22"/>
    </w:rPr>
  </w:style>
  <w:style w:type="paragraph" w:styleId="838">
    <w:name w:val="Body Text"/>
    <w:basedOn w:val="655"/>
    <w:rPr>
      <w:sz w:val="28"/>
    </w:rPr>
  </w:style>
  <w:style w:type="paragraph" w:styleId="839">
    <w:name w:val="Body Text Indent"/>
    <w:basedOn w:val="655"/>
    <w:pPr>
      <w:ind w:firstLine="720"/>
    </w:pPr>
    <w:rPr>
      <w:sz w:val="28"/>
    </w:rPr>
  </w:style>
  <w:style w:type="paragraph" w:styleId="840">
    <w:name w:val="Body Text Indent 2"/>
    <w:basedOn w:val="655"/>
    <w:pPr>
      <w:ind w:firstLine="720"/>
      <w:jc w:val="both"/>
    </w:pPr>
    <w:rPr>
      <w:sz w:val="28"/>
    </w:rPr>
  </w:style>
  <w:style w:type="paragraph" w:styleId="841">
    <w:name w:val="Balloon Text"/>
    <w:basedOn w:val="655"/>
    <w:link w:val="842"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link w:val="84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Лебедева</cp:lastModifiedBy>
  <cp:revision>11</cp:revision>
  <dcterms:created xsi:type="dcterms:W3CDTF">2024-03-26T08:14:00Z</dcterms:created>
  <dcterms:modified xsi:type="dcterms:W3CDTF">2025-03-25T06:32:26Z</dcterms:modified>
</cp:coreProperties>
</file>