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59" w:type="dxa"/>
        <w:jc w:val="right"/>
        <w:tblLook w:val="04A0" w:firstRow="1" w:lastRow="0" w:firstColumn="1" w:lastColumn="0" w:noHBand="0" w:noVBand="1"/>
      </w:tblPr>
      <w:tblGrid>
        <w:gridCol w:w="4359"/>
      </w:tblGrid>
      <w:tr w:rsidR="00A6458D" w14:paraId="7D15228D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E7F19FF" w14:textId="77777777" w:rsidR="00A6458D" w:rsidRDefault="003131C8">
            <w:pPr>
              <w:widowControl/>
              <w:jc w:val="right"/>
              <w:rPr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10.7</w:t>
            </w:r>
          </w:p>
        </w:tc>
      </w:tr>
      <w:tr w:rsidR="00A6458D" w14:paraId="3365EA01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DB700A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A6458D" w14:paraId="08B197CE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7CEEEF2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муниципального образования</w:t>
            </w:r>
          </w:p>
        </w:tc>
      </w:tr>
      <w:tr w:rsidR="00A6458D" w14:paraId="08306282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0195DCE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Сланцевский муниципальный</w:t>
            </w:r>
          </w:p>
        </w:tc>
      </w:tr>
      <w:tr w:rsidR="00A6458D" w14:paraId="024E0432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33FD152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район Ленинградской области</w:t>
            </w:r>
          </w:p>
        </w:tc>
      </w:tr>
      <w:tr w:rsidR="00A6458D" w14:paraId="52DCCE6F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0397A2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zh-CN"/>
              </w:rPr>
              <w:t>от  20.12.2023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 №  453-рсд</w:t>
            </w:r>
          </w:p>
        </w:tc>
      </w:tr>
      <w:tr w:rsidR="00A6458D" w14:paraId="1E871E2C" w14:textId="77777777">
        <w:trPr>
          <w:trHeight w:val="300"/>
          <w:jc w:val="right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E86C13" w14:textId="77777777" w:rsidR="00A6458D" w:rsidRDefault="003131C8">
            <w:pPr>
              <w:widowControl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(в редакции решения совета депутатов от 21.08.2024 </w:t>
            </w:r>
            <w:proofErr w:type="gramStart"/>
            <w:r>
              <w:rPr>
                <w:sz w:val="24"/>
                <w:szCs w:val="24"/>
                <w:lang w:eastAsia="zh-CN"/>
              </w:rPr>
              <w:t>№  509</w:t>
            </w:r>
            <w:proofErr w:type="gramEnd"/>
            <w:r>
              <w:rPr>
                <w:sz w:val="24"/>
                <w:szCs w:val="24"/>
                <w:lang w:eastAsia="zh-CN"/>
              </w:rPr>
              <w:t>-рсд)</w:t>
            </w:r>
          </w:p>
        </w:tc>
      </w:tr>
    </w:tbl>
    <w:p w14:paraId="409D4ED5" w14:textId="77777777" w:rsidR="00A6458D" w:rsidRDefault="00A6458D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14:paraId="418BD447" w14:textId="77777777" w:rsidR="002002F9" w:rsidRDefault="002002F9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4FCD9B66" w14:textId="77777777" w:rsidR="002002F9" w:rsidRDefault="002002F9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3BFA9CB9" w14:textId="77777777" w:rsidR="002002F9" w:rsidRDefault="002002F9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14:paraId="6DE61AD7" w14:textId="1DCF7CFC" w:rsidR="00A6458D" w:rsidRDefault="003131C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ПОРЯДОК</w:t>
      </w:r>
    </w:p>
    <w:p w14:paraId="2FA0A5AA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предоставления и расходования средств иных межбюджетных трансфертов</w:t>
      </w:r>
    </w:p>
    <w:p w14:paraId="41003277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>
        <w:rPr>
          <w:b/>
          <w:bCs/>
          <w:spacing w:val="-3"/>
          <w:sz w:val="24"/>
          <w:szCs w:val="24"/>
        </w:rPr>
        <w:br/>
        <w:t>на поощрение муниципальных управленческих команд</w:t>
      </w:r>
      <w:r>
        <w:t xml:space="preserve"> </w:t>
      </w:r>
      <w:r>
        <w:rPr>
          <w:b/>
          <w:bCs/>
          <w:spacing w:val="-3"/>
          <w:sz w:val="24"/>
          <w:szCs w:val="24"/>
        </w:rPr>
        <w:t>за достижение наилучших значений показателей эффективности органов местного самоуправления</w:t>
      </w:r>
    </w:p>
    <w:p w14:paraId="3F9CD28D" w14:textId="77777777" w:rsidR="00A6458D" w:rsidRDefault="00A6458D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14:paraId="7E464475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1. Настоящий Порядок разработан в с</w:t>
      </w:r>
      <w:r>
        <w:rPr>
          <w:bCs/>
          <w:spacing w:val="-3"/>
          <w:sz w:val="24"/>
          <w:szCs w:val="24"/>
        </w:rPr>
        <w:t>оответствии со статьями 142, 142.4 Бюджетного кодекса Российской Федерации и устанавливает цели и условия предоставления и расходования средств иных межбюджетных трансфертов бюджетам муниципальных образований поселений Сланцевского муниципального района на</w:t>
      </w:r>
      <w:r>
        <w:rPr>
          <w:bCs/>
          <w:spacing w:val="-3"/>
          <w:sz w:val="24"/>
          <w:szCs w:val="24"/>
        </w:rPr>
        <w:t xml:space="preserve"> поощрение муниципальных управленческих команд</w:t>
      </w:r>
      <w:r>
        <w:t xml:space="preserve"> </w:t>
      </w:r>
      <w:r>
        <w:rPr>
          <w:bCs/>
          <w:spacing w:val="-3"/>
          <w:sz w:val="24"/>
          <w:szCs w:val="24"/>
        </w:rPr>
        <w:t>за достижение наилучших значений показателей эффективности органов местного самоуправления (далее – межбюджетные трансферты).</w:t>
      </w:r>
    </w:p>
    <w:p w14:paraId="68BD4984" w14:textId="77777777" w:rsidR="00A6458D" w:rsidRDefault="003131C8">
      <w:pPr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</w:t>
      </w:r>
      <w:r>
        <w:rPr>
          <w:bCs/>
          <w:spacing w:val="-3"/>
          <w:sz w:val="24"/>
          <w:szCs w:val="24"/>
        </w:rPr>
        <w:t xml:space="preserve">ений Сланцевского муниципального района в целях реализации </w:t>
      </w:r>
      <w:r>
        <w:rPr>
          <w:rFonts w:eastAsia="Lucida Sans Unicode" w:cs="Mangal"/>
          <w:sz w:val="24"/>
          <w:szCs w:val="24"/>
          <w:lang w:eastAsia="zh-CN" w:bidi="hi-IN"/>
        </w:rPr>
        <w:t>постановления Губернатора Ленинградской области о распределении дотаций (грантов) между муниципальными образованиями Ленинградской области на поощрение достижения наилучших значений  показателей эф</w:t>
      </w:r>
      <w:r>
        <w:rPr>
          <w:rFonts w:eastAsia="Lucida Sans Unicode" w:cs="Mangal"/>
          <w:sz w:val="24"/>
          <w:szCs w:val="24"/>
          <w:lang w:eastAsia="zh-CN" w:bidi="hi-IN"/>
        </w:rPr>
        <w:t xml:space="preserve">фективности деятельности органов местного самоуправления муниципальных районов и городского округа Ленинградской области  за 2022 год </w:t>
      </w:r>
      <w:r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</w:t>
      </w:r>
      <w:r>
        <w:rPr>
          <w:bCs/>
          <w:spacing w:val="-3"/>
          <w:sz w:val="24"/>
          <w:szCs w:val="24"/>
        </w:rPr>
        <w:t>ующих лиц:</w:t>
      </w:r>
    </w:p>
    <w:p w14:paraId="40BA4776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</w:t>
      </w:r>
      <w:proofErr w:type="gramStart"/>
      <w:r>
        <w:rPr>
          <w:bCs/>
          <w:spacing w:val="-3"/>
          <w:sz w:val="24"/>
          <w:szCs w:val="24"/>
        </w:rPr>
        <w:t>день  отчетного</w:t>
      </w:r>
      <w:proofErr w:type="gramEnd"/>
      <w:r>
        <w:rPr>
          <w:bCs/>
          <w:spacing w:val="-3"/>
          <w:sz w:val="24"/>
          <w:szCs w:val="24"/>
        </w:rPr>
        <w:t xml:space="preserve"> года; </w:t>
      </w:r>
    </w:p>
    <w:p w14:paraId="45545308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лиц, замещавших должности муниципальной службы в органах местного </w:t>
      </w:r>
      <w:r>
        <w:rPr>
          <w:bCs/>
          <w:spacing w:val="-3"/>
          <w:sz w:val="24"/>
          <w:szCs w:val="24"/>
        </w:rPr>
        <w:t xml:space="preserve">самоуправления муниципальных образований Ленинградской </w:t>
      </w:r>
      <w:proofErr w:type="gramStart"/>
      <w:r>
        <w:rPr>
          <w:bCs/>
          <w:spacing w:val="-3"/>
          <w:sz w:val="24"/>
          <w:szCs w:val="24"/>
        </w:rPr>
        <w:t>области  по</w:t>
      </w:r>
      <w:proofErr w:type="gramEnd"/>
      <w:r>
        <w:rPr>
          <w:bCs/>
          <w:spacing w:val="-3"/>
          <w:sz w:val="24"/>
          <w:szCs w:val="24"/>
        </w:rPr>
        <w:t xml:space="preserve"> состоянию на последний рабочий день отчетного года;</w:t>
      </w:r>
    </w:p>
    <w:p w14:paraId="4F023997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</w:t>
      </w:r>
      <w:r>
        <w:rPr>
          <w:bCs/>
          <w:spacing w:val="-3"/>
          <w:sz w:val="24"/>
          <w:szCs w:val="24"/>
        </w:rPr>
        <w:t>нинградской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</w:p>
    <w:p w14:paraId="23682DF9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работников, замещающих должности, не являющиес</w:t>
      </w:r>
      <w:r>
        <w:rPr>
          <w:bCs/>
          <w:spacing w:val="-3"/>
          <w:sz w:val="24"/>
          <w:szCs w:val="24"/>
        </w:rPr>
        <w:t xml:space="preserve">я должностями муниципальной службы, в органах местного самоуправления муниципальных образований Ленинградской области, но которые по состоянию </w:t>
      </w:r>
      <w:proofErr w:type="gramStart"/>
      <w:r>
        <w:rPr>
          <w:bCs/>
          <w:spacing w:val="-3"/>
          <w:sz w:val="24"/>
          <w:szCs w:val="24"/>
        </w:rPr>
        <w:t>на  последний</w:t>
      </w:r>
      <w:proofErr w:type="gramEnd"/>
      <w:r>
        <w:rPr>
          <w:bCs/>
          <w:spacing w:val="-3"/>
          <w:sz w:val="24"/>
          <w:szCs w:val="24"/>
        </w:rPr>
        <w:t xml:space="preserve"> рабочий день  отчетного года замещали должности муниципальной службы в органах местного самоуправле</w:t>
      </w:r>
      <w:r>
        <w:rPr>
          <w:bCs/>
          <w:spacing w:val="-3"/>
          <w:sz w:val="24"/>
          <w:szCs w:val="24"/>
        </w:rPr>
        <w:t>ния муниципальных образований Ленинградской области.</w:t>
      </w:r>
    </w:p>
    <w:p w14:paraId="6EB8744F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При этом вышеуказанные лица муниципальных управленческих команд должны находиться в штатах органов местного самоуправления муниципального образования Сланцевский муниципальный район Ленинградской области</w:t>
      </w:r>
      <w:r>
        <w:rPr>
          <w:sz w:val="24"/>
          <w:szCs w:val="24"/>
        </w:rPr>
        <w:t xml:space="preserve"> на дату доведения до муниципального образования бюджетных ассигнований на цели поощрения муниципальных управленческих команд за счет иных межбюджетных трансфертов из областного бюджета местным бюджетам Ленинградской области.</w:t>
      </w:r>
    </w:p>
    <w:p w14:paraId="3552E626" w14:textId="185B427F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При этом формирование фонда на</w:t>
      </w:r>
      <w:r>
        <w:rPr>
          <w:bCs/>
          <w:spacing w:val="-3"/>
          <w:sz w:val="24"/>
          <w:szCs w:val="24"/>
        </w:rPr>
        <w:t xml:space="preserve"> указанную выплату осуществляется с учетом следующих положений:</w:t>
      </w:r>
    </w:p>
    <w:p w14:paraId="0012BB16" w14:textId="699FF044" w:rsidR="002002F9" w:rsidRDefault="002002F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37D1402A" w14:textId="71975C1A" w:rsidR="002002F9" w:rsidRDefault="002002F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56B55146" w14:textId="04FBBFC7" w:rsidR="002002F9" w:rsidRDefault="002002F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48F8E47F" w14:textId="77777777" w:rsidR="002002F9" w:rsidRDefault="002002F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48540590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отработавшим часть отчетного периода и ушедшим в течение отчетного периода в отпуск по уходу за ребенком до достижения им возраста трех лет - не более чем за фактически отработанное время в да</w:t>
      </w:r>
      <w:r>
        <w:rPr>
          <w:bCs/>
          <w:spacing w:val="-3"/>
          <w:sz w:val="24"/>
          <w:szCs w:val="24"/>
        </w:rPr>
        <w:t>нном отчетном году;</w:t>
      </w:r>
    </w:p>
    <w:p w14:paraId="5A664345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отработавшим часть отчетного периода (вновь принятым или уволенным и принятым в течение отчетного периода) - не более чем за фактически отработанное время в данном отчетном году.</w:t>
      </w:r>
    </w:p>
    <w:p w14:paraId="202FA5BB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3. Объем межбюджетных трансфертов определяется по формуле</w:t>
      </w:r>
      <w:r>
        <w:rPr>
          <w:bCs/>
          <w:spacing w:val="-3"/>
          <w:sz w:val="24"/>
          <w:szCs w:val="24"/>
        </w:rPr>
        <w:t>:</w:t>
      </w:r>
    </w:p>
    <w:p w14:paraId="5EF5AD7B" w14:textId="77777777" w:rsidR="00A6458D" w:rsidRDefault="00A6458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120D2A84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МБТ</w:t>
      </w:r>
      <w:proofErr w:type="gramStart"/>
      <w:r>
        <w:rPr>
          <w:bCs/>
          <w:spacing w:val="-3"/>
          <w:sz w:val="24"/>
          <w:szCs w:val="24"/>
        </w:rPr>
        <w:t>i</w:t>
      </w:r>
      <w:proofErr w:type="spellEnd"/>
      <w:r>
        <w:rPr>
          <w:bCs/>
          <w:spacing w:val="-3"/>
          <w:sz w:val="24"/>
          <w:szCs w:val="24"/>
        </w:rPr>
        <w:t xml:space="preserve">  =</w:t>
      </w:r>
      <w:proofErr w:type="gramEnd"/>
      <w:r>
        <w:rPr>
          <w:bCs/>
          <w:spacing w:val="-3"/>
          <w:sz w:val="24"/>
          <w:szCs w:val="24"/>
        </w:rPr>
        <w:t xml:space="preserve">  МБТ * </w:t>
      </w: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>
        <w:rPr>
          <w:bCs/>
          <w:spacing w:val="-3"/>
          <w:sz w:val="24"/>
          <w:szCs w:val="24"/>
        </w:rPr>
        <w:t xml:space="preserve"> *1,302 , где</w:t>
      </w:r>
    </w:p>
    <w:p w14:paraId="1E24D3D6" w14:textId="77777777" w:rsidR="00A6458D" w:rsidRDefault="00A6458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14:paraId="05DF6FF8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МБТi</w:t>
      </w:r>
      <w:proofErr w:type="spellEnd"/>
      <w:r>
        <w:rPr>
          <w:bCs/>
          <w:spacing w:val="-3"/>
          <w:sz w:val="24"/>
          <w:szCs w:val="24"/>
        </w:rPr>
        <w:t xml:space="preserve"> – объем межбюджетных трансфертов бюджету i-го муниципального образования на поощрение муниципальных управленческих команд;</w:t>
      </w:r>
    </w:p>
    <w:p w14:paraId="67D72B8C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МБТ – общий объем межбюджетных трансфертов бюджетам муниципальных образований на поощрение муниципальных управленческих команд (принимается равным 798,8 тыс. руб.);</w:t>
      </w:r>
    </w:p>
    <w:p w14:paraId="44AE8B60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– коэффициент типа поселения. Коэффициент </w:t>
      </w:r>
      <w:proofErr w:type="spellStart"/>
      <w:r>
        <w:rPr>
          <w:bCs/>
          <w:spacing w:val="-3"/>
          <w:sz w:val="24"/>
          <w:szCs w:val="24"/>
        </w:rPr>
        <w:t>ki</w:t>
      </w:r>
      <w:proofErr w:type="spellEnd"/>
      <w:r>
        <w:rPr>
          <w:bCs/>
          <w:spacing w:val="-3"/>
          <w:sz w:val="24"/>
          <w:szCs w:val="24"/>
        </w:rPr>
        <w:t xml:space="preserve"> принимается равным 1,186</w:t>
      </w:r>
      <w:r>
        <w:rPr>
          <w:bCs/>
          <w:spacing w:val="-3"/>
          <w:sz w:val="24"/>
          <w:szCs w:val="24"/>
        </w:rPr>
        <w:t xml:space="preserve"> для городского поселения, принимается равным 0,664 для сельского поселения;</w:t>
      </w:r>
    </w:p>
    <w:p w14:paraId="7725C2D4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>
        <w:rPr>
          <w:bCs/>
          <w:spacing w:val="-3"/>
          <w:sz w:val="24"/>
          <w:szCs w:val="24"/>
        </w:rPr>
        <w:t>Оi</w:t>
      </w:r>
      <w:proofErr w:type="spellEnd"/>
      <w:r>
        <w:rPr>
          <w:bCs/>
          <w:spacing w:val="-3"/>
          <w:sz w:val="24"/>
          <w:szCs w:val="24"/>
        </w:rPr>
        <w:t xml:space="preserve"> – сумма должностных </w:t>
      </w:r>
      <w:proofErr w:type="gramStart"/>
      <w:r>
        <w:rPr>
          <w:bCs/>
          <w:spacing w:val="-3"/>
          <w:sz w:val="24"/>
          <w:szCs w:val="24"/>
        </w:rPr>
        <w:t>окладов  лиц</w:t>
      </w:r>
      <w:proofErr w:type="gramEnd"/>
      <w:r>
        <w:rPr>
          <w:bCs/>
          <w:spacing w:val="-3"/>
          <w:sz w:val="24"/>
          <w:szCs w:val="24"/>
        </w:rPr>
        <w:t>-участников муниципальных управленческих команд i-го муниципального образования, указанных в пункте 2 настоящего Порядка;</w:t>
      </w:r>
    </w:p>
    <w:p w14:paraId="7EB040DD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∑ </w:t>
      </w:r>
      <w:proofErr w:type="spellStart"/>
      <w:r>
        <w:rPr>
          <w:bCs/>
          <w:spacing w:val="-3"/>
          <w:sz w:val="24"/>
          <w:szCs w:val="24"/>
        </w:rPr>
        <w:t>Oi</w:t>
      </w:r>
      <w:proofErr w:type="spellEnd"/>
      <w:r>
        <w:rPr>
          <w:bCs/>
          <w:spacing w:val="-3"/>
          <w:sz w:val="24"/>
          <w:szCs w:val="24"/>
        </w:rPr>
        <w:t xml:space="preserve"> – общая сумма дол</w:t>
      </w:r>
      <w:r>
        <w:rPr>
          <w:bCs/>
          <w:spacing w:val="-3"/>
          <w:sz w:val="24"/>
          <w:szCs w:val="24"/>
        </w:rPr>
        <w:t>жностных окладов лиц-участников муниципальных управленческих команд муниципальных образований, указанных в пункте 2 настоящего Порядка.</w:t>
      </w:r>
    </w:p>
    <w:p w14:paraId="4AB5563F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4. Перечисление межбюджетных трансфертов осуществляется комитетом финансов в соответствии со сводной бюджетной росписью </w:t>
      </w:r>
      <w:r>
        <w:rPr>
          <w:bCs/>
          <w:spacing w:val="-3"/>
          <w:sz w:val="24"/>
          <w:szCs w:val="24"/>
        </w:rPr>
        <w:t>бюджета Сланцевского муниципального района после заключения соглашений с администрациями муниципальных образований поселений.</w:t>
      </w:r>
    </w:p>
    <w:p w14:paraId="29BA8162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5. Администрации муниципальных образований поселений на основании доведенных до них уведомлений о бюджетных ассигнованиях в устано</w:t>
      </w:r>
      <w:r>
        <w:rPr>
          <w:bCs/>
          <w:spacing w:val="-3"/>
          <w:sz w:val="24"/>
          <w:szCs w:val="24"/>
        </w:rPr>
        <w:t>вленном порядке осуществляют учет поступивших средств в доходной и расходной частях бюджетов муниципальных образований.</w:t>
      </w:r>
    </w:p>
    <w:p w14:paraId="730265EA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Администрации муниципальных образований поселений предоставляют в комитет финансов отчеты об использовании полученных межбюджетных транс</w:t>
      </w:r>
      <w:r>
        <w:rPr>
          <w:bCs/>
          <w:spacing w:val="-3"/>
          <w:sz w:val="24"/>
          <w:szCs w:val="24"/>
        </w:rPr>
        <w:t>фертов в сроки сдачи квартальных и годового отчетов.</w:t>
      </w:r>
    </w:p>
    <w:p w14:paraId="3E0CAFA1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6. Межбюджетные трансферты используются на поощрение муниципальных управленческих команд</w:t>
      </w:r>
      <w:r>
        <w:t xml:space="preserve"> </w:t>
      </w:r>
      <w:r>
        <w:rPr>
          <w:bCs/>
          <w:spacing w:val="-3"/>
          <w:sz w:val="24"/>
          <w:szCs w:val="24"/>
        </w:rPr>
        <w:t xml:space="preserve">за достижение наилучших </w:t>
      </w:r>
      <w:proofErr w:type="gramStart"/>
      <w:r>
        <w:rPr>
          <w:bCs/>
          <w:spacing w:val="-3"/>
          <w:sz w:val="24"/>
          <w:szCs w:val="24"/>
        </w:rPr>
        <w:t>значений  показателей</w:t>
      </w:r>
      <w:proofErr w:type="gramEnd"/>
      <w:r>
        <w:rPr>
          <w:bCs/>
          <w:spacing w:val="-3"/>
          <w:sz w:val="24"/>
          <w:szCs w:val="24"/>
        </w:rPr>
        <w:t xml:space="preserve"> эффективности органов местного самоуправления.</w:t>
      </w:r>
    </w:p>
    <w:p w14:paraId="07BA8371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7. Ответственность за</w:t>
      </w:r>
      <w:r>
        <w:rPr>
          <w:bCs/>
          <w:spacing w:val="-3"/>
          <w:sz w:val="24"/>
          <w:szCs w:val="24"/>
        </w:rPr>
        <w:t xml:space="preserve">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14:paraId="19513243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</w:t>
      </w:r>
      <w:r>
        <w:rPr>
          <w:bCs/>
          <w:spacing w:val="-3"/>
          <w:sz w:val="24"/>
          <w:szCs w:val="24"/>
        </w:rPr>
        <w:t>могут быть использованы на те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14:paraId="5B01EE42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9. В случае использования межбюджетных трансфертов не</w:t>
      </w:r>
      <w:r>
        <w:rPr>
          <w:bCs/>
          <w:spacing w:val="-3"/>
          <w:sz w:val="24"/>
          <w:szCs w:val="24"/>
        </w:rPr>
        <w:t xml:space="preserve">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14:paraId="741E4379" w14:textId="77777777" w:rsidR="00A6458D" w:rsidRDefault="003131C8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10. Контроль за целевым использованием межбюджетных трансфертов администра</w:t>
      </w:r>
      <w:r>
        <w:rPr>
          <w:bCs/>
          <w:spacing w:val="-3"/>
          <w:sz w:val="24"/>
          <w:szCs w:val="24"/>
        </w:rPr>
        <w:t>циями муниципальных образований поселений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</w:t>
      </w:r>
      <w:r>
        <w:rPr>
          <w:bCs/>
          <w:spacing w:val="-3"/>
          <w:sz w:val="24"/>
          <w:szCs w:val="24"/>
        </w:rPr>
        <w:t>.</w:t>
      </w:r>
    </w:p>
    <w:p w14:paraId="480F6F91" w14:textId="77777777" w:rsidR="00A6458D" w:rsidRDefault="00A6458D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A645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925D" w14:textId="77777777" w:rsidR="003131C8" w:rsidRDefault="003131C8">
      <w:r>
        <w:separator/>
      </w:r>
    </w:p>
  </w:endnote>
  <w:endnote w:type="continuationSeparator" w:id="0">
    <w:p w14:paraId="6869792C" w14:textId="77777777" w:rsidR="003131C8" w:rsidRDefault="0031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6DC6" w14:textId="77777777" w:rsidR="003131C8" w:rsidRDefault="003131C8">
      <w:r>
        <w:separator/>
      </w:r>
    </w:p>
  </w:footnote>
  <w:footnote w:type="continuationSeparator" w:id="0">
    <w:p w14:paraId="1FD36BBE" w14:textId="77777777" w:rsidR="003131C8" w:rsidRDefault="0031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58D"/>
    <w:rsid w:val="002002F9"/>
    <w:rsid w:val="003131C8"/>
    <w:rsid w:val="00A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C4A8"/>
  <w15:docId w15:val="{07BE8F80-A5F3-4A5E-AD38-DE22F877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539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Mangal"/>
      <w:color w:val="365F91"/>
      <w:sz w:val="23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Pr>
      <w:rFonts w:eastAsia="Times New Roman"/>
      <w:sz w:val="24"/>
      <w:szCs w:val="24"/>
      <w:lang w:eastAsia="ru-RU"/>
    </w:rPr>
  </w:style>
  <w:style w:type="character" w:styleId="af8">
    <w:name w:val="Strong"/>
    <w:basedOn w:val="a0"/>
    <w:uiPriority w:val="99"/>
    <w:qFormat/>
    <w:rPr>
      <w:rFonts w:cs="Times New Roman"/>
      <w:b/>
      <w:bCs/>
    </w:rPr>
  </w:style>
  <w:style w:type="paragraph" w:styleId="af9">
    <w:name w:val="No Spacing"/>
    <w:uiPriority w:val="99"/>
    <w:qFormat/>
    <w:pPr>
      <w:widowControl w:val="0"/>
    </w:pPr>
    <w:rPr>
      <w:rFonts w:cs="Tahoma"/>
      <w:szCs w:val="24"/>
    </w:rPr>
  </w:style>
  <w:style w:type="paragraph" w:styleId="afa">
    <w:name w:val="List Paragraph"/>
    <w:basedOn w:val="a"/>
    <w:link w:val="afb"/>
    <w:uiPriority w:val="99"/>
    <w:qFormat/>
    <w:pPr>
      <w:widowControl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fb">
    <w:name w:val="Абзац списка Знак"/>
    <w:link w:val="afa"/>
    <w:uiPriority w:val="99"/>
    <w:rPr>
      <w:rFonts w:eastAsia="Times New Roman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User</cp:lastModifiedBy>
  <cp:revision>29</cp:revision>
  <cp:lastPrinted>2024-08-22T08:08:00Z</cp:lastPrinted>
  <dcterms:created xsi:type="dcterms:W3CDTF">2021-09-09T08:51:00Z</dcterms:created>
  <dcterms:modified xsi:type="dcterms:W3CDTF">2024-08-22T08:08:00Z</dcterms:modified>
</cp:coreProperties>
</file>