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4359" w:type="dxa"/>
        <w:jc w:val="right"/>
        <w:tblInd w:w="-3337" w:type="dxa"/>
        <w:tblLook w:val="04A0" w:firstRow="1" w:lastRow="0" w:firstColumn="1" w:lastColumn="0" w:noHBand="0" w:noVBand="1"/>
      </w:tblPr>
      <w:tblGrid>
        <w:gridCol w:w="4359"/>
      </w:tblGrid>
      <w:tr>
        <w:tblPrEx/>
        <w:trPr>
          <w:jc w:val="right"/>
          <w:trHeight w:val="300"/>
        </w:trPr>
        <w:tc>
          <w:tcPr>
            <w:tcW w:w="4359" w:type="dxa"/>
            <w:vAlign w:val="bottom"/>
            <w:textDirection w:val="lrTb"/>
            <w:noWrap w:val="false"/>
          </w:tcPr>
          <w:p>
            <w:pPr>
              <w:ind w:firstLine="709"/>
              <w:jc w:val="right"/>
              <w:widowControl/>
              <w:rPr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Приложение 10.9</w:t>
            </w:r>
            <w:bookmarkStart w:id="0" w:name="_GoBack"/>
            <w:r/>
            <w:bookmarkEnd w:id="0"/>
            <w:r/>
            <w:r>
              <w:rPr>
                <w:sz w:val="24"/>
                <w:szCs w:val="24"/>
                <w:highlight w:val="yellow"/>
                <w:lang w:val="en-US" w:eastAsia="zh-CN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vAlign w:val="bottom"/>
            <w:textDirection w:val="lrTb"/>
            <w:noWrap w:val="false"/>
          </w:tcPr>
          <w:p>
            <w:pPr>
              <w:ind w:firstLine="709"/>
              <w:jc w:val="right"/>
              <w:widowControl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к решению совета депутатов</w:t>
            </w:r>
            <w:r>
              <w:rPr>
                <w:sz w:val="24"/>
                <w:szCs w:val="24"/>
                <w:lang w:eastAsia="zh-CN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vAlign w:val="bottom"/>
            <w:textDirection w:val="lrTb"/>
            <w:noWrap w:val="false"/>
          </w:tcPr>
          <w:p>
            <w:pPr>
              <w:ind w:firstLine="709"/>
              <w:jc w:val="right"/>
              <w:widowControl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муниципального образования</w:t>
            </w:r>
            <w:r>
              <w:rPr>
                <w:sz w:val="24"/>
                <w:szCs w:val="24"/>
                <w:lang w:eastAsia="zh-CN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vAlign w:val="bottom"/>
            <w:textDirection w:val="lrTb"/>
            <w:noWrap w:val="false"/>
          </w:tcPr>
          <w:p>
            <w:pPr>
              <w:ind w:firstLine="709"/>
              <w:jc w:val="right"/>
              <w:widowControl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Сланцевский муниципальный</w:t>
            </w:r>
            <w:r>
              <w:rPr>
                <w:sz w:val="24"/>
                <w:szCs w:val="24"/>
                <w:lang w:eastAsia="zh-CN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vAlign w:val="bottom"/>
            <w:textDirection w:val="lrTb"/>
            <w:noWrap w:val="false"/>
          </w:tcPr>
          <w:p>
            <w:pPr>
              <w:ind w:firstLine="709"/>
              <w:jc w:val="right"/>
              <w:widowControl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район Ленинградской области</w:t>
            </w:r>
            <w:r>
              <w:rPr>
                <w:sz w:val="24"/>
                <w:szCs w:val="24"/>
                <w:lang w:eastAsia="zh-CN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textDirection w:val="lrTb"/>
            <w:noWrap w:val="false"/>
          </w:tcPr>
          <w:p>
            <w:pPr>
              <w:ind w:firstLine="709"/>
              <w:jc w:val="right"/>
              <w:widowControl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от  20.12.2023  №  453-рсд</w:t>
            </w:r>
            <w:r>
              <w:rPr>
                <w:sz w:val="24"/>
                <w:szCs w:val="24"/>
                <w:lang w:eastAsia="zh-CN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textDirection w:val="lrTb"/>
            <w:noWrap w:val="false"/>
          </w:tcPr>
          <w:p>
            <w:pPr>
              <w:ind w:firstLine="709"/>
              <w:jc w:val="right"/>
              <w:widowControl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(в редакции решения совета депутатов от 21.08.2024 №  509-</w:t>
            </w:r>
            <w:r>
              <w:rPr>
                <w:sz w:val="24"/>
                <w:szCs w:val="24"/>
                <w:lang w:eastAsia="zh-CN"/>
              </w:rPr>
              <w:t xml:space="preserve">рсд</w:t>
            </w:r>
            <w:r>
              <w:rPr>
                <w:sz w:val="24"/>
                <w:szCs w:val="24"/>
                <w:lang w:eastAsia="zh-CN"/>
              </w:rPr>
              <w:t xml:space="preserve">)</w:t>
            </w:r>
            <w:r>
              <w:rPr>
                <w:sz w:val="24"/>
                <w:szCs w:val="24"/>
                <w:lang w:eastAsia="zh-CN"/>
              </w:rPr>
            </w:r>
          </w:p>
        </w:tc>
      </w:tr>
    </w:tbl>
    <w:p>
      <w:pPr>
        <w:ind w:left="79"/>
        <w:jc w:val="center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</w:r>
      <w:r>
        <w:rPr>
          <w:bCs/>
          <w:spacing w:val="-3"/>
          <w:sz w:val="24"/>
          <w:szCs w:val="24"/>
        </w:rPr>
      </w:r>
    </w:p>
    <w:p>
      <w:pPr>
        <w:ind w:left="79"/>
        <w:jc w:val="center"/>
        <w:shd w:val="clear" w:color="auto" w:fill="ffffff"/>
        <w:tabs>
          <w:tab w:val="left" w:pos="1944" w:leader="none"/>
          <w:tab w:val="center" w:pos="5001" w:leader="none"/>
        </w:tabs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ПОРЯДОК</w:t>
      </w:r>
      <w:r>
        <w:rPr>
          <w:b/>
          <w:bCs/>
          <w:spacing w:val="-3"/>
          <w:sz w:val="24"/>
          <w:szCs w:val="24"/>
        </w:rPr>
      </w:r>
    </w:p>
    <w:p>
      <w:pPr>
        <w:ind w:left="79"/>
        <w:jc w:val="center"/>
        <w:shd w:val="clear" w:color="auto" w:fill="ffffff"/>
        <w:tabs>
          <w:tab w:val="left" w:pos="1944" w:leader="none"/>
          <w:tab w:val="center" w:pos="5001" w:leader="none"/>
        </w:tabs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предоставления и расходования средств </w:t>
      </w:r>
      <w:r>
        <w:rPr>
          <w:b/>
          <w:bCs/>
          <w:spacing w:val="-3"/>
          <w:sz w:val="24"/>
          <w:szCs w:val="24"/>
        </w:rPr>
        <w:t xml:space="preserve">иных </w:t>
      </w:r>
      <w:r>
        <w:rPr>
          <w:b/>
          <w:bCs/>
          <w:spacing w:val="-3"/>
          <w:sz w:val="24"/>
          <w:szCs w:val="24"/>
        </w:rPr>
        <w:t xml:space="preserve">межбюджетных трансфертов</w:t>
      </w:r>
      <w:r>
        <w:rPr>
          <w:b/>
          <w:bCs/>
          <w:spacing w:val="-3"/>
          <w:sz w:val="24"/>
          <w:szCs w:val="24"/>
        </w:rPr>
      </w:r>
    </w:p>
    <w:p>
      <w:pPr>
        <w:ind w:left="79"/>
        <w:jc w:val="center"/>
        <w:shd w:val="clear" w:color="auto" w:fill="ffffff"/>
        <w:tabs>
          <w:tab w:val="left" w:pos="1944" w:leader="none"/>
          <w:tab w:val="center" w:pos="5001" w:leader="none"/>
        </w:tabs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бюджетам муниципальных образований поселений Сланцевского муниципального района</w:t>
      </w:r>
      <w:r>
        <w:rPr>
          <w:b/>
          <w:bCs/>
          <w:spacing w:val="-3"/>
          <w:sz w:val="24"/>
          <w:szCs w:val="24"/>
        </w:rPr>
        <w:br/>
      </w:r>
      <w:r>
        <w:rPr>
          <w:b/>
          <w:bCs/>
          <w:spacing w:val="-3"/>
          <w:sz w:val="24"/>
          <w:szCs w:val="24"/>
        </w:rPr>
        <w:t xml:space="preserve">на финансовое обеспечение расходов по начислениям на оплату труда работникам органов местного самоуправления при</w:t>
      </w:r>
      <w:r>
        <w:rPr>
          <w:b/>
          <w:bCs/>
          <w:spacing w:val="-3"/>
          <w:sz w:val="24"/>
          <w:szCs w:val="24"/>
        </w:rPr>
        <w:t xml:space="preserve"> поощрени</w:t>
      </w:r>
      <w:r>
        <w:rPr>
          <w:b/>
          <w:bCs/>
          <w:spacing w:val="-3"/>
          <w:sz w:val="24"/>
          <w:szCs w:val="24"/>
        </w:rPr>
        <w:t xml:space="preserve">и</w:t>
      </w:r>
      <w:r>
        <w:rPr>
          <w:b/>
          <w:bCs/>
          <w:spacing w:val="-3"/>
          <w:sz w:val="24"/>
          <w:szCs w:val="24"/>
        </w:rPr>
        <w:t xml:space="preserve"> муниципал</w:t>
      </w:r>
      <w:r>
        <w:rPr>
          <w:b/>
          <w:bCs/>
          <w:spacing w:val="-3"/>
          <w:sz w:val="24"/>
          <w:szCs w:val="24"/>
        </w:rPr>
        <w:t xml:space="preserve">ьных управленческих команд</w:t>
      </w:r>
      <w:r>
        <w:t xml:space="preserve"> </w:t>
      </w:r>
      <w:r>
        <w:rPr>
          <w:b/>
          <w:bCs/>
          <w:spacing w:val="-3"/>
          <w:sz w:val="24"/>
          <w:szCs w:val="24"/>
        </w:rPr>
        <w:t xml:space="preserve">за достижение </w:t>
      </w:r>
      <w:r>
        <w:rPr>
          <w:b/>
          <w:bCs/>
          <w:spacing w:val="-3"/>
          <w:sz w:val="24"/>
          <w:szCs w:val="24"/>
        </w:rPr>
        <w:t xml:space="preserve">показателей </w:t>
      </w:r>
      <w:r>
        <w:rPr>
          <w:b/>
          <w:bCs/>
          <w:spacing w:val="-3"/>
          <w:sz w:val="24"/>
          <w:szCs w:val="24"/>
        </w:rPr>
        <w:t xml:space="preserve">эффективности </w:t>
      </w:r>
      <w:r>
        <w:rPr>
          <w:b/>
          <w:bCs/>
          <w:spacing w:val="-3"/>
          <w:sz w:val="24"/>
          <w:szCs w:val="24"/>
        </w:rPr>
        <w:t xml:space="preserve">деятельности органов местного самоуправления</w:t>
      </w:r>
      <w:r>
        <w:rPr>
          <w:b/>
          <w:bCs/>
          <w:spacing w:val="-3"/>
          <w:sz w:val="24"/>
          <w:szCs w:val="24"/>
        </w:rPr>
      </w:r>
    </w:p>
    <w:p>
      <w:pPr>
        <w:ind w:left="79"/>
        <w:jc w:val="center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</w:r>
      <w:r>
        <w:rPr>
          <w:bCs/>
          <w:spacing w:val="-3"/>
          <w:sz w:val="24"/>
          <w:szCs w:val="24"/>
        </w:rPr>
      </w:r>
    </w:p>
    <w:p>
      <w:pPr>
        <w:ind w:left="79" w:firstLine="709"/>
        <w:jc w:val="both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1. </w:t>
      </w:r>
      <w:r>
        <w:rPr>
          <w:bCs/>
          <w:spacing w:val="-3"/>
          <w:sz w:val="24"/>
          <w:szCs w:val="24"/>
        </w:rPr>
        <w:t xml:space="preserve">Настоящий Порядок разработан в соответствии со статьями 142, 142.4 Бюджетного кодекса Российской Федерации и устанавливает цели и условия предоставления и расходования средств </w:t>
      </w:r>
      <w:r>
        <w:rPr>
          <w:bCs/>
          <w:spacing w:val="-3"/>
          <w:sz w:val="24"/>
          <w:szCs w:val="24"/>
        </w:rPr>
        <w:t xml:space="preserve">иных </w:t>
      </w:r>
      <w:r>
        <w:rPr>
          <w:bCs/>
          <w:spacing w:val="-3"/>
          <w:sz w:val="24"/>
          <w:szCs w:val="24"/>
        </w:rPr>
        <w:t xml:space="preserve">межбюджетных трансфертов бюджетам муниципальных образований поселений Сланцевского муниципального района </w:t>
      </w:r>
      <w:r>
        <w:rPr>
          <w:bCs/>
          <w:spacing w:val="-3"/>
          <w:sz w:val="24"/>
          <w:szCs w:val="24"/>
        </w:rPr>
        <w:t xml:space="preserve">на финансовое обеспечение расходов по начислениям на оплату труда работникам органов местного самоуправления при поощрении муниципальных управленческих команд за достижение показателей эффективности деятельности органов местного самоуправления</w:t>
      </w:r>
      <w:r>
        <w:rPr>
          <w:bCs/>
          <w:spacing w:val="-3"/>
          <w:sz w:val="24"/>
          <w:szCs w:val="24"/>
        </w:rPr>
        <w:t xml:space="preserve"> (далее – межбюджетные</w:t>
      </w:r>
      <w:r>
        <w:rPr>
          <w:bCs/>
          <w:spacing w:val="-3"/>
          <w:sz w:val="24"/>
          <w:szCs w:val="24"/>
        </w:rPr>
        <w:t xml:space="preserve"> трансферты).</w:t>
      </w:r>
      <w:r>
        <w:rPr>
          <w:bCs/>
          <w:spacing w:val="-3"/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2.</w:t>
      </w:r>
      <w:r>
        <w:rPr>
          <w:bCs/>
          <w:spacing w:val="-3"/>
          <w:sz w:val="24"/>
          <w:szCs w:val="24"/>
          <w:lang w:val="en-US"/>
        </w:rPr>
        <w:t xml:space="preserve"> </w:t>
      </w:r>
      <w:r>
        <w:rPr>
          <w:bCs/>
          <w:spacing w:val="-3"/>
          <w:sz w:val="24"/>
          <w:szCs w:val="24"/>
        </w:rPr>
        <w:t xml:space="preserve">Межбюджетные трансферты предоставляются бюджетам муниципальных образований поселений </w:t>
      </w:r>
      <w:r>
        <w:rPr>
          <w:bCs/>
          <w:spacing w:val="-3"/>
          <w:sz w:val="24"/>
          <w:szCs w:val="24"/>
        </w:rPr>
        <w:t xml:space="preserve">за счет средств бюджета Сланцевского муниципального района</w:t>
      </w:r>
      <w:r>
        <w:rPr>
          <w:bCs/>
          <w:spacing w:val="-3"/>
          <w:sz w:val="24"/>
          <w:szCs w:val="24"/>
        </w:rPr>
        <w:t xml:space="preserve"> </w:t>
      </w:r>
      <w:r>
        <w:rPr>
          <w:bCs/>
          <w:spacing w:val="-3"/>
          <w:sz w:val="24"/>
          <w:szCs w:val="24"/>
        </w:rPr>
        <w:t xml:space="preserve">на обеспечение расходов по начислениям на оплату труда работникам органов местного самоуправления </w:t>
      </w:r>
      <w:r>
        <w:rPr>
          <w:bCs/>
          <w:spacing w:val="-3"/>
          <w:sz w:val="24"/>
          <w:szCs w:val="24"/>
        </w:rPr>
        <w:t xml:space="preserve">в размере 30,2 % от объема расходов на поощрение</w:t>
      </w:r>
      <w:r>
        <w:rPr>
          <w:bCs/>
          <w:spacing w:val="-3"/>
          <w:sz w:val="24"/>
          <w:szCs w:val="24"/>
        </w:rPr>
        <w:t xml:space="preserve"> муниципальных управленческих команд за достижение показателей </w:t>
      </w:r>
      <w:r>
        <w:rPr>
          <w:bCs/>
          <w:spacing w:val="-3"/>
          <w:sz w:val="24"/>
          <w:szCs w:val="24"/>
        </w:rPr>
        <w:t xml:space="preserve">эффективности деятельности органов местного самоуправления</w:t>
      </w:r>
      <w:r>
        <w:rPr>
          <w:bCs/>
          <w:spacing w:val="-3"/>
          <w:sz w:val="24"/>
          <w:szCs w:val="24"/>
        </w:rPr>
        <w:t xml:space="preserve"> за счет средств областного бюджета Ленинградской области</w:t>
      </w:r>
      <w:r>
        <w:rPr>
          <w:bCs/>
          <w:spacing w:val="-3"/>
          <w:sz w:val="24"/>
          <w:szCs w:val="24"/>
        </w:rPr>
        <w:t xml:space="preserve">.</w:t>
      </w:r>
      <w:r>
        <w:rPr>
          <w:bCs/>
          <w:spacing w:val="-3"/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3</w:t>
      </w:r>
      <w:r>
        <w:rPr>
          <w:bCs/>
          <w:spacing w:val="-3"/>
          <w:sz w:val="24"/>
          <w:szCs w:val="24"/>
        </w:rPr>
        <w:t xml:space="preserve">. </w:t>
      </w:r>
      <w:r>
        <w:rPr>
          <w:bCs/>
          <w:spacing w:val="-3"/>
          <w:sz w:val="24"/>
          <w:szCs w:val="24"/>
        </w:rPr>
        <w:t xml:space="preserve">Перечисление межбюджетных трансфертов осуществляется комитетом финансов в соответствии со сводной бюджетной росписью бюджета Сланцевского муниципального района после заключения соглашений с администрациями муниципальных образований поселений.</w:t>
      </w:r>
      <w:r>
        <w:rPr>
          <w:bCs/>
          <w:spacing w:val="-3"/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4</w:t>
      </w:r>
      <w:r>
        <w:rPr>
          <w:bCs/>
          <w:spacing w:val="-3"/>
          <w:sz w:val="24"/>
          <w:szCs w:val="24"/>
        </w:rPr>
        <w:t xml:space="preserve">. </w:t>
      </w:r>
      <w:r>
        <w:rPr>
          <w:bCs/>
          <w:spacing w:val="-3"/>
          <w:sz w:val="24"/>
          <w:szCs w:val="24"/>
        </w:rPr>
        <w:t xml:space="preserve">Администрации муниципальных образований </w:t>
      </w:r>
      <w:r>
        <w:rPr>
          <w:bCs/>
          <w:spacing w:val="-3"/>
          <w:sz w:val="24"/>
          <w:szCs w:val="24"/>
        </w:rPr>
        <w:t xml:space="preserve">поселений</w:t>
      </w:r>
      <w:r>
        <w:rPr>
          <w:bCs/>
          <w:spacing w:val="-3"/>
          <w:sz w:val="24"/>
          <w:szCs w:val="24"/>
        </w:rPr>
        <w:t xml:space="preserve"> на основании доведенных до них уведомлений о бюджетных ассигнованиях в установленном порядке осуществляют учет поступивших средств в доходной и расходной частях бюджетов муниципальных образований.</w:t>
      </w:r>
      <w:r>
        <w:rPr>
          <w:bCs/>
          <w:spacing w:val="-3"/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Администрации муниципальных образований поселений предоставляют в комитет финансов отчеты об использовании полученных межбюджетных трансфертов в сроки сдачи квартальных и </w:t>
      </w:r>
      <w:r>
        <w:rPr>
          <w:bCs/>
          <w:spacing w:val="-3"/>
          <w:sz w:val="24"/>
          <w:szCs w:val="24"/>
        </w:rPr>
        <w:t xml:space="preserve">годового</w:t>
      </w:r>
      <w:r>
        <w:rPr>
          <w:bCs/>
          <w:spacing w:val="-3"/>
          <w:sz w:val="24"/>
          <w:szCs w:val="24"/>
        </w:rPr>
        <w:t xml:space="preserve"> отчетов.</w:t>
      </w:r>
      <w:r>
        <w:rPr>
          <w:bCs/>
          <w:spacing w:val="-3"/>
          <w:sz w:val="24"/>
          <w:szCs w:val="24"/>
        </w:rPr>
      </w:r>
    </w:p>
    <w:p>
      <w:pPr>
        <w:ind w:left="79"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5</w:t>
      </w:r>
      <w:r>
        <w:rPr>
          <w:bCs/>
          <w:spacing w:val="-3"/>
          <w:sz w:val="24"/>
          <w:szCs w:val="24"/>
        </w:rPr>
        <w:t xml:space="preserve">. Межбюджетные трансферты используются на </w:t>
      </w:r>
      <w:r>
        <w:rPr>
          <w:bCs/>
          <w:spacing w:val="-3"/>
          <w:sz w:val="24"/>
          <w:szCs w:val="24"/>
        </w:rPr>
        <w:t xml:space="preserve">обеспечение расходов по начислениям на оплату труда работникам органов местного самоуправления при поощрении муниципальных управленческих команд за достижение </w:t>
      </w:r>
      <w:r>
        <w:rPr>
          <w:bCs/>
          <w:spacing w:val="-3"/>
          <w:sz w:val="24"/>
          <w:szCs w:val="24"/>
        </w:rPr>
        <w:t xml:space="preserve">показателей эффективности деятельности органов местного самоуправления</w:t>
      </w:r>
      <w:r>
        <w:rPr>
          <w:bCs/>
          <w:spacing w:val="-3"/>
          <w:sz w:val="24"/>
          <w:szCs w:val="24"/>
        </w:rPr>
        <w:t xml:space="preserve">.</w:t>
      </w:r>
      <w:r>
        <w:rPr>
          <w:bCs/>
          <w:spacing w:val="-3"/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6</w:t>
      </w:r>
      <w:r>
        <w:rPr>
          <w:bCs/>
          <w:spacing w:val="-3"/>
          <w:sz w:val="24"/>
          <w:szCs w:val="24"/>
        </w:rPr>
        <w:t xml:space="preserve">. </w:t>
      </w:r>
      <w:r>
        <w:rPr>
          <w:bCs/>
          <w:spacing w:val="-3"/>
          <w:sz w:val="24"/>
          <w:szCs w:val="24"/>
        </w:rPr>
        <w:t xml:space="preserve">Ответственность за несоблюдение настоящего порядка, а также недостоверность представляемых сведений возлагается на администрации муниципальных образований поселений Сланцевского муниципального района.</w:t>
      </w:r>
      <w:r>
        <w:rPr>
          <w:bCs/>
          <w:spacing w:val="-3"/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7</w:t>
      </w:r>
      <w:r>
        <w:rPr>
          <w:bCs/>
          <w:spacing w:val="-3"/>
          <w:sz w:val="24"/>
          <w:szCs w:val="24"/>
        </w:rPr>
        <w:t xml:space="preserve">. </w:t>
      </w:r>
      <w:r>
        <w:rPr>
          <w:bCs/>
          <w:spacing w:val="-3"/>
          <w:sz w:val="24"/>
          <w:szCs w:val="24"/>
        </w:rPr>
        <w:t xml:space="preserve">Межбюджетные трансферты, не использованные в текущем финансовом году, могут быть использованы </w:t>
      </w:r>
      <w:r>
        <w:rPr>
          <w:bCs/>
          <w:spacing w:val="-3"/>
          <w:sz w:val="24"/>
          <w:szCs w:val="24"/>
        </w:rPr>
        <w:t xml:space="preserve">на те</w:t>
      </w:r>
      <w:r>
        <w:rPr>
          <w:bCs/>
          <w:spacing w:val="-3"/>
          <w:sz w:val="24"/>
          <w:szCs w:val="24"/>
        </w:rPr>
        <w:t xml:space="preserve"> же цели в очередном финансовом году при установлении наличия потребности в них на основании оформленных уведомлений по расчетам между бюджетами (код формы по ОКУД 0504817).</w:t>
      </w:r>
      <w:r>
        <w:rPr>
          <w:bCs/>
          <w:spacing w:val="-3"/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8</w:t>
      </w:r>
      <w:r>
        <w:rPr>
          <w:bCs/>
          <w:spacing w:val="-3"/>
          <w:sz w:val="24"/>
          <w:szCs w:val="24"/>
        </w:rPr>
        <w:t xml:space="preserve">.</w:t>
      </w:r>
      <w:r>
        <w:rPr>
          <w:bCs/>
          <w:spacing w:val="-3"/>
          <w:sz w:val="24"/>
          <w:szCs w:val="24"/>
        </w:rPr>
        <w:t xml:space="preserve"> </w:t>
      </w:r>
      <w:r>
        <w:rPr>
          <w:bCs/>
          <w:spacing w:val="-3"/>
          <w:sz w:val="24"/>
          <w:szCs w:val="24"/>
        </w:rPr>
        <w:t xml:space="preserve">В случае использования межбюджетных трансфертов не по целевому назначению, выделенные средства подлежат возврату в бюджет Сланцевского муниципального района в добровольном порядке в течение 2-х недель с момента выявления нарушений.</w:t>
      </w:r>
      <w:r>
        <w:rPr>
          <w:bCs/>
          <w:spacing w:val="-3"/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9</w:t>
      </w:r>
      <w:r>
        <w:rPr>
          <w:bCs/>
          <w:spacing w:val="-3"/>
          <w:sz w:val="24"/>
          <w:szCs w:val="24"/>
        </w:rPr>
        <w:t xml:space="preserve">.</w:t>
      </w:r>
      <w:r>
        <w:rPr>
          <w:bCs/>
          <w:spacing w:val="-3"/>
          <w:sz w:val="24"/>
          <w:szCs w:val="24"/>
        </w:rPr>
        <w:t xml:space="preserve"> </w:t>
      </w:r>
      <w:r>
        <w:rPr>
          <w:bCs/>
          <w:spacing w:val="-3"/>
          <w:sz w:val="24"/>
          <w:szCs w:val="24"/>
        </w:rPr>
        <w:t xml:space="preserve">Контроль за</w:t>
      </w:r>
      <w:r>
        <w:rPr>
          <w:bCs/>
          <w:spacing w:val="-3"/>
          <w:sz w:val="24"/>
          <w:szCs w:val="24"/>
        </w:rPr>
        <w:t xml:space="preserve"> целевым использованием межбюджетных трансфертов администрац</w:t>
      </w:r>
      <w:r>
        <w:rPr>
          <w:bCs/>
          <w:spacing w:val="-3"/>
          <w:sz w:val="24"/>
          <w:szCs w:val="24"/>
        </w:rPr>
        <w:t xml:space="preserve">иями муниципальных образований поселений Сланцевского муниципального района возлагается на администрацию муниципального образования Сланцевский муниципальный район и комитет финансов администрации муниципального образования Сланцевский муниципальный район.</w:t>
      </w:r>
      <w:r>
        <w:rPr>
          <w:bCs/>
          <w:spacing w:val="-3"/>
          <w:sz w:val="24"/>
          <w:szCs w:val="24"/>
        </w:rPr>
      </w:r>
    </w:p>
    <w:sectPr>
      <w:footnotePr/>
      <w:endnotePr/>
      <w:type w:val="nextPage"/>
      <w:pgSz w:w="11906" w:h="16838" w:orient="portrait"/>
      <w:pgMar w:top="567" w:right="567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angal">
    <w:panose1 w:val="02040503050406030204"/>
  </w:font>
  <w:font w:name="Cambria">
    <w:panose1 w:val="02040503050406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sz w:val="24"/>
        <w:szCs w:val="22"/>
        <w:lang w:val="ru-RU" w:eastAsia="en-US" w:bidi="ar-SA"/>
      </w:rPr>
    </w:rPrDefault>
    <w:pPrDefault>
      <w:pPr>
        <w:ind w:left="0" w:right="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2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2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2"/>
    <w:link w:val="620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2"/>
    <w:link w:val="6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ind w:firstLine="0"/>
      <w:widowControl w:val="off"/>
    </w:pPr>
    <w:rPr>
      <w:rFonts w:eastAsia="Times New Roman"/>
      <w:sz w:val="20"/>
      <w:szCs w:val="20"/>
      <w:lang w:eastAsia="ru-RU"/>
    </w:rPr>
  </w:style>
  <w:style w:type="paragraph" w:styleId="618">
    <w:name w:val="Heading 1"/>
    <w:basedOn w:val="617"/>
    <w:next w:val="617"/>
    <w:link w:val="625"/>
    <w:uiPriority w:val="99"/>
    <w:qFormat/>
    <w:pPr>
      <w:ind w:firstLine="709"/>
      <w:keepLines/>
      <w:keepNext/>
      <w:spacing w:before="480"/>
      <w:widowControl/>
      <w:outlineLvl w:val="0"/>
    </w:pPr>
    <w:rPr>
      <w:rFonts w:ascii="Cambria" w:hAnsi="Cambria" w:eastAsia="Calibri"/>
      <w:b/>
      <w:bCs/>
      <w:color w:val="365f91"/>
      <w:sz w:val="28"/>
      <w:szCs w:val="28"/>
      <w:lang w:eastAsia="en-US"/>
    </w:rPr>
  </w:style>
  <w:style w:type="paragraph" w:styleId="619">
    <w:name w:val="Heading 2"/>
    <w:basedOn w:val="617"/>
    <w:next w:val="617"/>
    <w:link w:val="626"/>
    <w:uiPriority w:val="99"/>
    <w:qFormat/>
    <w:pPr>
      <w:ind w:firstLine="709"/>
      <w:keepLines/>
      <w:keepNext/>
      <w:spacing w:before="40" w:line="100" w:lineRule="atLeast"/>
      <w:outlineLvl w:val="1"/>
    </w:pPr>
    <w:rPr>
      <w:rFonts w:ascii="Cambria" w:hAnsi="Cambria" w:eastAsia="Calibri" w:cs="Mangal"/>
      <w:color w:val="365f91"/>
      <w:sz w:val="23"/>
      <w:szCs w:val="23"/>
      <w:lang w:eastAsia="zh-CN" w:bidi="hi-IN"/>
    </w:rPr>
  </w:style>
  <w:style w:type="paragraph" w:styleId="620">
    <w:name w:val="Heading 3"/>
    <w:basedOn w:val="617"/>
    <w:next w:val="617"/>
    <w:link w:val="627"/>
    <w:uiPriority w:val="99"/>
    <w:qFormat/>
    <w:pPr>
      <w:ind w:firstLine="709"/>
      <w:keepLines/>
      <w:keepNext/>
      <w:spacing w:before="200"/>
      <w:widowControl/>
      <w:outlineLvl w:val="2"/>
    </w:pPr>
    <w:rPr>
      <w:rFonts w:ascii="Cambria" w:hAnsi="Cambria" w:eastAsia="Calibri"/>
      <w:b/>
      <w:bCs/>
      <w:color w:val="4f81bd"/>
      <w:sz w:val="24"/>
      <w:szCs w:val="22"/>
      <w:lang w:eastAsia="en-US"/>
    </w:rPr>
  </w:style>
  <w:style w:type="paragraph" w:styleId="621">
    <w:name w:val="Heading 5"/>
    <w:basedOn w:val="617"/>
    <w:next w:val="617"/>
    <w:link w:val="628"/>
    <w:uiPriority w:val="99"/>
    <w:qFormat/>
    <w:pPr>
      <w:ind w:firstLine="539"/>
      <w:jc w:val="both"/>
      <w:outlineLvl w:val="4"/>
    </w:pPr>
    <w:rPr>
      <w:sz w:val="24"/>
      <w:szCs w:val="24"/>
    </w:r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character" w:styleId="625" w:customStyle="1">
    <w:name w:val="Заголовок 1 Знак"/>
    <w:basedOn w:val="622"/>
    <w:link w:val="618"/>
    <w:uiPriority w:val="99"/>
    <w:rPr>
      <w:rFonts w:ascii="Cambria" w:hAnsi="Cambria"/>
      <w:b/>
      <w:bCs/>
      <w:color w:val="365f91"/>
      <w:sz w:val="28"/>
      <w:szCs w:val="28"/>
    </w:rPr>
  </w:style>
  <w:style w:type="character" w:styleId="626" w:customStyle="1">
    <w:name w:val="Заголовок 2 Знак"/>
    <w:basedOn w:val="622"/>
    <w:link w:val="619"/>
    <w:uiPriority w:val="99"/>
    <w:rPr>
      <w:rFonts w:ascii="Cambria" w:hAnsi="Cambria" w:cs="Mangal"/>
      <w:color w:val="365f91"/>
      <w:sz w:val="23"/>
      <w:szCs w:val="23"/>
      <w:lang w:eastAsia="zh-CN" w:bidi="hi-IN"/>
    </w:rPr>
  </w:style>
  <w:style w:type="character" w:styleId="627" w:customStyle="1">
    <w:name w:val="Заголовок 3 Знак"/>
    <w:basedOn w:val="622"/>
    <w:link w:val="620"/>
    <w:uiPriority w:val="99"/>
    <w:rPr>
      <w:rFonts w:ascii="Cambria" w:hAnsi="Cambria"/>
      <w:b/>
      <w:bCs/>
      <w:color w:val="4f81bd"/>
    </w:rPr>
  </w:style>
  <w:style w:type="character" w:styleId="628" w:customStyle="1">
    <w:name w:val="Заголовок 5 Знак"/>
    <w:basedOn w:val="622"/>
    <w:link w:val="621"/>
    <w:uiPriority w:val="99"/>
    <w:rPr>
      <w:rFonts w:eastAsia="Times New Roman"/>
      <w:sz w:val="24"/>
      <w:szCs w:val="24"/>
      <w:lang w:eastAsia="ru-RU"/>
    </w:rPr>
  </w:style>
  <w:style w:type="character" w:styleId="629">
    <w:name w:val="Strong"/>
    <w:basedOn w:val="622"/>
    <w:uiPriority w:val="99"/>
    <w:qFormat/>
    <w:rPr>
      <w:rFonts w:cs="Times New Roman"/>
      <w:b/>
      <w:bCs/>
    </w:rPr>
  </w:style>
  <w:style w:type="paragraph" w:styleId="630">
    <w:name w:val="No Spacing"/>
    <w:uiPriority w:val="99"/>
    <w:qFormat/>
    <w:pPr>
      <w:widowControl w:val="off"/>
    </w:pPr>
    <w:rPr>
      <w:rFonts w:cs="Tahoma"/>
      <w:szCs w:val="24"/>
    </w:rPr>
  </w:style>
  <w:style w:type="paragraph" w:styleId="631">
    <w:name w:val="List Paragraph"/>
    <w:basedOn w:val="617"/>
    <w:link w:val="632"/>
    <w:uiPriority w:val="99"/>
    <w:qFormat/>
    <w:pPr>
      <w:contextualSpacing/>
      <w:ind w:left="720" w:firstLine="709"/>
      <w:jc w:val="center"/>
      <w:widowControl/>
    </w:pPr>
    <w:rPr>
      <w:sz w:val="24"/>
      <w:szCs w:val="22"/>
      <w:lang w:eastAsia="en-US"/>
    </w:rPr>
  </w:style>
  <w:style w:type="character" w:styleId="632" w:customStyle="1">
    <w:name w:val="Абзац списка Знак"/>
    <w:link w:val="631"/>
    <w:uiPriority w:val="99"/>
    <w:rPr>
      <w:rFonts w:eastAsia="Times New Roman"/>
    </w:rPr>
  </w:style>
  <w:style w:type="paragraph" w:styleId="633">
    <w:name w:val="Balloon Text"/>
    <w:basedOn w:val="617"/>
    <w:link w:val="634"/>
    <w:uiPriority w:val="99"/>
    <w:semiHidden/>
    <w:unhideWhenUsed/>
    <w:rPr>
      <w:rFonts w:ascii="Tahoma" w:hAnsi="Tahoma" w:cs="Tahoma"/>
      <w:sz w:val="16"/>
      <w:szCs w:val="16"/>
    </w:rPr>
  </w:style>
  <w:style w:type="character" w:styleId="634" w:customStyle="1">
    <w:name w:val="Текст выноски Знак"/>
    <w:basedOn w:val="622"/>
    <w:link w:val="633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Бакашова Екатерина В.</dc:creator>
  <cp:keywords/>
  <dc:description/>
  <cp:revision>23</cp:revision>
  <dcterms:created xsi:type="dcterms:W3CDTF">2021-09-09T08:51:00Z</dcterms:created>
  <dcterms:modified xsi:type="dcterms:W3CDTF">2024-08-16T14:12:57Z</dcterms:modified>
</cp:coreProperties>
</file>