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114" w:type="dxa"/>
        <w:jc w:val="right"/>
        <w:tblInd w:w="-3092" w:type="dxa"/>
        <w:tblLook w:val="04A0" w:firstRow="1" w:lastRow="0" w:firstColumn="1" w:lastColumn="0" w:noHBand="0" w:noVBand="1"/>
      </w:tblPr>
      <w:tblGrid>
        <w:gridCol w:w="4114"/>
      </w:tblGrid>
      <w:tr>
        <w:tblPrEx/>
        <w:trPr>
          <w:jc w:val="right"/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10.1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114" w:type="dxa"/>
            <w:vAlign w:val="bottom"/>
            <w:textDirection w:val="lrTb"/>
            <w:noWrap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  20.12.2024   №  44-</w:t>
            </w:r>
            <w:r>
              <w:rPr>
                <w:sz w:val="24"/>
                <w:szCs w:val="24"/>
              </w:rPr>
              <w:t xml:space="preserve">рсд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73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и расходования иных межбюджетных трансфертов бюджетам муниципальных образований поселений </w:t>
      </w:r>
      <w:r>
        <w:rPr>
          <w:b/>
          <w:sz w:val="24"/>
          <w:szCs w:val="24"/>
        </w:rPr>
        <w:t xml:space="preserve">на финансовое обеспечение исполнения расходных обязательств муниципальных образований в соответствии с планами мероприятий («дорожными картами»)</w:t>
      </w:r>
      <w:r>
        <w:rPr>
          <w:b/>
          <w:bCs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</w:rPr>
        <w:t xml:space="preserve">Настоящий порядок</w:t>
      </w:r>
      <w:r>
        <w:rPr>
          <w:sz w:val="24"/>
          <w:szCs w:val="24"/>
        </w:rPr>
        <w:t xml:space="preserve"> разработан в соответствии со статьями 142, 142.4 Бюджетного кодекса Российской Федерации, статьей 4 Положения о бюджетном процессе в муниципальном образовании Сланцевский муниципальный район Ленинградской области и устанавливает случаи и порядок предостав</w:t>
      </w:r>
      <w:r>
        <w:rPr>
          <w:sz w:val="24"/>
          <w:szCs w:val="24"/>
        </w:rPr>
        <w:t xml:space="preserve">ления и расходования иных межбюджетных трансфертов бюджетам муниципальных образований поселений на финансовое обеспечение исполнения расходных обязательств муниципальных образований в соответствии с планами мероприятий («дорожными картами») за счет средств</w:t>
      </w:r>
      <w:r>
        <w:rPr>
          <w:sz w:val="24"/>
          <w:szCs w:val="24"/>
        </w:rPr>
        <w:t xml:space="preserve"> бюджета муниципального образования Сланцевский муниципальный район Ленинградской области (далее – межбюджетные трансферты).</w:t>
      </w:r>
      <w:r>
        <w:t xml:space="preserve"> </w:t>
      </w:r>
      <w:r>
        <w:rPr>
          <w:sz w:val="24"/>
          <w:szCs w:val="24"/>
        </w:rPr>
      </w:r>
    </w:p>
    <w:p>
      <w:pPr>
        <w:pStyle w:val="8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Межбюджетные трансферты предусматриваются в целях обеспечения софинансирования из местного бюджета субсидии из областного бюджета на обеспечение выплат стимулирующего характера работникам учреждений культуры и библиотек поселений.</w:t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firstLine="709"/>
        <w:jc w:val="center"/>
        <w:shd w:val="clear" w:color="auto" w:fill="ffffff"/>
        <w:widowControl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</w:rPr>
        <w:t xml:space="preserve">МБТ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  <w:vertAlign w:val="subscript"/>
          <w:lang w:val="en-US"/>
        </w:rPr>
        <w:t xml:space="preserve"> </w:t>
      </w:r>
      <w:r>
        <w:rPr>
          <w:sz w:val="24"/>
          <w:szCs w:val="24"/>
          <w:highlight w:val="white"/>
          <w:lang w:val="en-US"/>
        </w:rPr>
        <w:t xml:space="preserve"> =  h</w:t>
      </w:r>
      <w:r>
        <w:rPr>
          <w:bCs/>
          <w:sz w:val="24"/>
          <w:szCs w:val="24"/>
          <w:highlight w:val="white"/>
          <w:vertAlign w:val="subscript"/>
          <w:lang w:val="en-US"/>
        </w:rPr>
        <w:t xml:space="preserve">1i</w:t>
      </w:r>
      <w:r>
        <w:rPr>
          <w:sz w:val="24"/>
          <w:szCs w:val="24"/>
          <w:highlight w:val="white"/>
          <w:lang w:val="en-US"/>
        </w:rPr>
        <w:t xml:space="preserve"> * C</w:t>
      </w:r>
      <w:r>
        <w:rPr>
          <w:sz w:val="24"/>
          <w:szCs w:val="24"/>
          <w:highlight w:val="white"/>
          <w:vertAlign w:val="subscript"/>
          <w:lang w:val="en-US"/>
        </w:rPr>
        <w:t xml:space="preserve">1i</w:t>
      </w:r>
      <w:r>
        <w:rPr>
          <w:sz w:val="24"/>
          <w:szCs w:val="24"/>
          <w:highlight w:val="white"/>
          <w:lang w:val="en-US"/>
        </w:rPr>
        <w:t xml:space="preserve"> * k</w:t>
      </w:r>
      <w:r>
        <w:rPr>
          <w:sz w:val="24"/>
          <w:szCs w:val="24"/>
          <w:highlight w:val="white"/>
          <w:vertAlign w:val="subscript"/>
          <w:lang w:val="en-US"/>
        </w:rPr>
        <w:t xml:space="preserve">1i</w:t>
      </w:r>
      <w:r>
        <w:rPr>
          <w:sz w:val="24"/>
          <w:szCs w:val="24"/>
          <w:highlight w:val="white"/>
          <w:lang w:val="en-US"/>
        </w:rPr>
        <w:t xml:space="preserve"> + h</w:t>
      </w:r>
      <w:r>
        <w:rPr>
          <w:bCs/>
          <w:sz w:val="24"/>
          <w:szCs w:val="24"/>
          <w:highlight w:val="white"/>
          <w:vertAlign w:val="subscript"/>
          <w:lang w:val="en-US"/>
        </w:rPr>
        <w:t xml:space="preserve">2i</w:t>
      </w:r>
      <w:r>
        <w:rPr>
          <w:sz w:val="24"/>
          <w:szCs w:val="24"/>
          <w:highlight w:val="white"/>
          <w:lang w:val="en-US"/>
        </w:rPr>
        <w:t xml:space="preserve"> * C</w:t>
      </w:r>
      <w:r>
        <w:rPr>
          <w:sz w:val="24"/>
          <w:szCs w:val="24"/>
          <w:highlight w:val="white"/>
          <w:vertAlign w:val="subscript"/>
          <w:lang w:val="en-US"/>
        </w:rPr>
        <w:t xml:space="preserve">2i</w:t>
      </w:r>
      <w:r>
        <w:rPr>
          <w:sz w:val="24"/>
          <w:szCs w:val="24"/>
          <w:highlight w:val="white"/>
          <w:lang w:val="en-US"/>
        </w:rPr>
        <w:t xml:space="preserve"> * k</w:t>
      </w:r>
      <w:r>
        <w:rPr>
          <w:sz w:val="24"/>
          <w:szCs w:val="24"/>
          <w:highlight w:val="white"/>
          <w:vertAlign w:val="subscript"/>
          <w:lang w:val="en-US"/>
        </w:rPr>
        <w:t xml:space="preserve">2i</w:t>
      </w:r>
      <w:r>
        <w:rPr>
          <w:sz w:val="24"/>
          <w:szCs w:val="24"/>
          <w:highlight w:val="white"/>
          <w:lang w:val="en-US"/>
        </w:rPr>
        <w:t xml:space="preserve"> , </w:t>
      </w:r>
      <w:r>
        <w:rPr>
          <w:sz w:val="24"/>
          <w:szCs w:val="24"/>
          <w:highlight w:val="white"/>
        </w:rPr>
        <w:t xml:space="preserve">где</w:t>
      </w:r>
      <w:r>
        <w:rPr>
          <w:sz w:val="24"/>
          <w:szCs w:val="24"/>
          <w:highlight w:val="white"/>
          <w:lang w:val="en-US"/>
        </w:rPr>
      </w:r>
    </w:p>
    <w:p>
      <w:pPr>
        <w:ind w:firstLine="709"/>
        <w:jc w:val="center"/>
        <w:shd w:val="clear" w:color="auto" w:fill="ffffff"/>
        <w:widowControl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  <w:lang w:val="en-US"/>
        </w:rPr>
      </w:r>
      <w:r>
        <w:rPr>
          <w:sz w:val="24"/>
          <w:szCs w:val="24"/>
          <w:highlight w:val="white"/>
          <w:lang w:val="en-US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МБТ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i/>
          <w:iCs/>
          <w:sz w:val="24"/>
          <w:szCs w:val="24"/>
          <w:highlight w:val="white"/>
        </w:rPr>
        <w:t xml:space="preserve"> -</w:t>
      </w:r>
      <w:r>
        <w:rPr>
          <w:sz w:val="24"/>
          <w:szCs w:val="24"/>
          <w:highlight w:val="white"/>
        </w:rPr>
        <w:t xml:space="preserve"> объем межбюджетных трансфертов бюджету </w:t>
      </w:r>
      <w:r>
        <w:rPr>
          <w:sz w:val="24"/>
          <w:szCs w:val="24"/>
          <w:highlight w:val="white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-го муниципального образования; 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  <w:lang w:val="en-US"/>
        </w:rPr>
        <w:t xml:space="preserve">h</w:t>
      </w:r>
      <w:r>
        <w:rPr>
          <w:bCs/>
          <w:sz w:val="24"/>
          <w:szCs w:val="24"/>
          <w:highlight w:val="white"/>
          <w:vertAlign w:val="subscript"/>
        </w:rPr>
        <w:t xml:space="preserve">1</w:t>
      </w:r>
      <w:r>
        <w:rPr>
          <w:bCs/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bCs/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white"/>
        </w:rPr>
        <w:t xml:space="preserve">–</w:t>
      </w:r>
      <w:r>
        <w:rPr>
          <w:bCs/>
          <w:sz w:val="24"/>
          <w:szCs w:val="24"/>
          <w:highlight w:val="white"/>
        </w:rPr>
        <w:t xml:space="preserve"> коэффициент размера выплат</w:t>
      </w:r>
      <w:r>
        <w:rPr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  <w:highlight w:val="white"/>
        </w:rPr>
        <w:t xml:space="preserve">стимулирующего ха</w:t>
      </w:r>
      <w:bookmarkStart w:id="0" w:name="_GoBack"/>
      <w:r/>
      <w:bookmarkEnd w:id="0"/>
      <w:r>
        <w:rPr>
          <w:bCs/>
          <w:sz w:val="24"/>
          <w:szCs w:val="24"/>
          <w:highlight w:val="white"/>
        </w:rPr>
        <w:t xml:space="preserve">рактера работникам учреждений культуры за счет средств местного бюджета.</w:t>
      </w:r>
      <w:r>
        <w:rPr>
          <w:bCs/>
          <w:sz w:val="24"/>
          <w:szCs w:val="24"/>
          <w:highlight w:val="white"/>
        </w:rPr>
        <w:t xml:space="preserve"> Коэффициент </w:t>
      </w:r>
      <w:r>
        <w:rPr>
          <w:bCs/>
          <w:sz w:val="24"/>
          <w:szCs w:val="24"/>
          <w:highlight w:val="white"/>
          <w:lang w:val="en-US"/>
        </w:rPr>
        <w:t xml:space="preserve">h</w:t>
      </w:r>
      <w:r>
        <w:rPr>
          <w:bCs/>
          <w:sz w:val="24"/>
          <w:szCs w:val="24"/>
          <w:highlight w:val="white"/>
          <w:vertAlign w:val="subscript"/>
        </w:rPr>
        <w:t xml:space="preserve">1</w:t>
      </w:r>
      <w:r>
        <w:rPr>
          <w:bCs/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bCs/>
          <w:sz w:val="24"/>
          <w:szCs w:val="24"/>
          <w:highlight w:val="white"/>
        </w:rPr>
        <w:t xml:space="preserve"> принимается </w:t>
      </w:r>
      <w:r>
        <w:rPr>
          <w:bCs/>
          <w:sz w:val="24"/>
          <w:szCs w:val="24"/>
          <w:highlight w:val="white"/>
        </w:rPr>
        <w:t xml:space="preserve">равным</w:t>
      </w:r>
      <w:r>
        <w:rPr>
          <w:bCs/>
          <w:sz w:val="24"/>
          <w:szCs w:val="24"/>
          <w:highlight w:val="white"/>
        </w:rPr>
        <w:t xml:space="preserve"> не более:                         </w:t>
      </w:r>
      <w:r>
        <w:rPr>
          <w:sz w:val="24"/>
          <w:szCs w:val="24"/>
          <w:highlight w:val="white"/>
        </w:rPr>
        <w:t xml:space="preserve">для Сланцевского городского поселения 1,</w:t>
      </w:r>
      <w:r>
        <w:rPr>
          <w:sz w:val="24"/>
          <w:szCs w:val="24"/>
          <w:highlight w:val="white"/>
        </w:rPr>
        <w:t xml:space="preserve">0332</w:t>
      </w:r>
      <w:r>
        <w:rPr>
          <w:sz w:val="24"/>
          <w:szCs w:val="24"/>
          <w:highlight w:val="white"/>
        </w:rPr>
        <w:t xml:space="preserve">; для Выскатского сельского поселения 1,</w:t>
      </w:r>
      <w:r>
        <w:rPr>
          <w:sz w:val="24"/>
          <w:szCs w:val="24"/>
          <w:highlight w:val="white"/>
        </w:rPr>
        <w:t xml:space="preserve">1040</w:t>
      </w:r>
      <w:r>
        <w:rPr>
          <w:bCs/>
          <w:sz w:val="24"/>
          <w:szCs w:val="24"/>
          <w:highlight w:val="white"/>
        </w:rPr>
        <w:t xml:space="preserve">;               </w:t>
      </w:r>
      <w:r>
        <w:rPr>
          <w:sz w:val="24"/>
          <w:szCs w:val="24"/>
          <w:highlight w:val="white"/>
        </w:rPr>
        <w:t xml:space="preserve">для Гостицкого сельского поселения 1,</w:t>
      </w:r>
      <w:r>
        <w:rPr>
          <w:sz w:val="24"/>
          <w:szCs w:val="24"/>
          <w:highlight w:val="white"/>
        </w:rPr>
        <w:t xml:space="preserve">0</w:t>
      </w:r>
      <w:r>
        <w:rPr>
          <w:bCs/>
          <w:sz w:val="24"/>
          <w:szCs w:val="24"/>
          <w:highlight w:val="white"/>
        </w:rPr>
        <w:t xml:space="preserve">29</w:t>
      </w:r>
      <w:r>
        <w:rPr>
          <w:bCs/>
          <w:sz w:val="24"/>
          <w:szCs w:val="24"/>
          <w:highlight w:val="white"/>
        </w:rPr>
        <w:t xml:space="preserve">6</w:t>
      </w:r>
      <w:r>
        <w:rPr>
          <w:bCs/>
          <w:sz w:val="24"/>
          <w:szCs w:val="24"/>
          <w:highlight w:val="white"/>
        </w:rPr>
        <w:t xml:space="preserve">; </w:t>
      </w:r>
      <w:r>
        <w:rPr>
          <w:sz w:val="24"/>
          <w:szCs w:val="24"/>
          <w:highlight w:val="white"/>
        </w:rPr>
        <w:t xml:space="preserve">для Загривского сельского поселения 1,</w:t>
      </w:r>
      <w:r>
        <w:rPr>
          <w:sz w:val="24"/>
          <w:szCs w:val="24"/>
          <w:highlight w:val="white"/>
        </w:rPr>
        <w:t xml:space="preserve">0473</w:t>
      </w:r>
      <w:r>
        <w:rPr>
          <w:bCs/>
          <w:sz w:val="24"/>
          <w:szCs w:val="24"/>
          <w:highlight w:val="white"/>
        </w:rPr>
        <w:t xml:space="preserve">;                    </w:t>
      </w:r>
      <w:r>
        <w:rPr>
          <w:sz w:val="24"/>
          <w:szCs w:val="24"/>
          <w:highlight w:val="white"/>
        </w:rPr>
        <w:t xml:space="preserve">для Новосельского сельского поселения 1,</w:t>
      </w:r>
      <w:r>
        <w:rPr>
          <w:bCs/>
          <w:sz w:val="24"/>
          <w:szCs w:val="24"/>
          <w:highlight w:val="white"/>
        </w:rPr>
        <w:t xml:space="preserve">0</w:t>
      </w:r>
      <w:r>
        <w:rPr>
          <w:bCs/>
          <w:sz w:val="24"/>
          <w:szCs w:val="24"/>
          <w:highlight w:val="white"/>
        </w:rPr>
        <w:t xml:space="preserve">546</w:t>
      </w:r>
      <w:r>
        <w:rPr>
          <w:bCs/>
          <w:sz w:val="24"/>
          <w:szCs w:val="24"/>
          <w:highlight w:val="white"/>
        </w:rPr>
        <w:t xml:space="preserve">; </w:t>
      </w:r>
      <w:r>
        <w:rPr>
          <w:sz w:val="24"/>
          <w:szCs w:val="24"/>
          <w:highlight w:val="white"/>
        </w:rPr>
        <w:t xml:space="preserve">для </w:t>
      </w:r>
      <w:r>
        <w:rPr>
          <w:bCs/>
          <w:sz w:val="24"/>
          <w:szCs w:val="24"/>
          <w:highlight w:val="white"/>
        </w:rPr>
        <w:t xml:space="preserve">Старопольского </w:t>
      </w:r>
      <w:r>
        <w:rPr>
          <w:sz w:val="24"/>
          <w:szCs w:val="24"/>
          <w:highlight w:val="white"/>
        </w:rPr>
        <w:t xml:space="preserve"> сельского поселения 0,9722</w:t>
      </w:r>
      <w:r>
        <w:rPr>
          <w:bCs/>
          <w:sz w:val="24"/>
          <w:szCs w:val="24"/>
          <w:highlight w:val="white"/>
        </w:rPr>
        <w:t xml:space="preserve">;            для Черновского </w:t>
      </w:r>
      <w:r>
        <w:rPr>
          <w:sz w:val="24"/>
          <w:szCs w:val="24"/>
          <w:highlight w:val="white"/>
        </w:rPr>
        <w:t xml:space="preserve"> сельского поселения</w:t>
      </w:r>
      <w:r>
        <w:rPr>
          <w:bCs/>
          <w:sz w:val="24"/>
          <w:szCs w:val="24"/>
          <w:highlight w:val="white"/>
        </w:rPr>
        <w:t xml:space="preserve"> 1,0</w:t>
      </w:r>
      <w:r>
        <w:rPr>
          <w:bCs/>
          <w:sz w:val="24"/>
          <w:szCs w:val="24"/>
          <w:highlight w:val="white"/>
        </w:rPr>
        <w:t xml:space="preserve">068</w:t>
      </w:r>
      <w:r>
        <w:rPr>
          <w:bCs/>
          <w:sz w:val="24"/>
          <w:szCs w:val="24"/>
          <w:highlight w:val="white"/>
        </w:rPr>
        <w:t xml:space="preserve">;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 xml:space="preserve">C</w:t>
      </w:r>
      <w:r>
        <w:rPr>
          <w:sz w:val="24"/>
          <w:szCs w:val="24"/>
          <w:highlight w:val="white"/>
          <w:vertAlign w:val="subscript"/>
        </w:rPr>
        <w:t xml:space="preserve">1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 – объем субсидии из областного бюджета </w:t>
      </w:r>
      <w:r>
        <w:rPr>
          <w:sz w:val="24"/>
          <w:szCs w:val="24"/>
          <w:highlight w:val="white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-му муниципальному образованию на обеспечение выплат стимулирующего характера работникам учреждений культуры;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 xml:space="preserve">k</w:t>
      </w:r>
      <w:r>
        <w:rPr>
          <w:sz w:val="24"/>
          <w:szCs w:val="24"/>
          <w:highlight w:val="white"/>
          <w:vertAlign w:val="subscript"/>
        </w:rPr>
        <w:t xml:space="preserve">1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 – коэффициент типа поселения.</w:t>
      </w:r>
      <w:r>
        <w:rPr>
          <w:sz w:val="24"/>
          <w:szCs w:val="24"/>
          <w:highlight w:val="white"/>
        </w:rPr>
        <w:t xml:space="preserve"> Коэффициент </w:t>
      </w:r>
      <w:r>
        <w:rPr>
          <w:sz w:val="24"/>
          <w:szCs w:val="24"/>
          <w:highlight w:val="white"/>
          <w:lang w:val="en-US"/>
        </w:rPr>
        <w:t xml:space="preserve">k</w:t>
      </w:r>
      <w:r>
        <w:rPr>
          <w:sz w:val="24"/>
          <w:szCs w:val="24"/>
          <w:highlight w:val="white"/>
          <w:vertAlign w:val="subscript"/>
        </w:rPr>
        <w:t xml:space="preserve">1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 принимается </w:t>
      </w:r>
      <w:r>
        <w:rPr>
          <w:sz w:val="24"/>
          <w:szCs w:val="24"/>
          <w:highlight w:val="white"/>
        </w:rPr>
        <w:t xml:space="preserve">равным</w:t>
      </w:r>
      <w:r>
        <w:rPr>
          <w:sz w:val="24"/>
          <w:szCs w:val="24"/>
          <w:highlight w:val="white"/>
        </w:rPr>
        <w:t xml:space="preserve"> для городского поселения 1, для сельского поселения 1;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  <w:lang w:val="en-US"/>
        </w:rPr>
        <w:t xml:space="preserve">h</w:t>
      </w:r>
      <w:r>
        <w:rPr>
          <w:bCs/>
          <w:sz w:val="24"/>
          <w:szCs w:val="24"/>
          <w:highlight w:val="white"/>
          <w:vertAlign w:val="subscript"/>
        </w:rPr>
        <w:t xml:space="preserve">2</w:t>
      </w:r>
      <w:r>
        <w:rPr>
          <w:bCs/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bCs/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white"/>
        </w:rPr>
        <w:t xml:space="preserve">–</w:t>
      </w:r>
      <w:r>
        <w:rPr>
          <w:bCs/>
          <w:sz w:val="24"/>
          <w:szCs w:val="24"/>
          <w:highlight w:val="white"/>
        </w:rPr>
        <w:t xml:space="preserve"> коэффициент размера выплат</w:t>
      </w:r>
      <w:r>
        <w:rPr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  <w:highlight w:val="white"/>
        </w:rPr>
        <w:t xml:space="preserve">стимулирующего характера работникам учреждений библиотек за счет средств местного бюджета.</w:t>
      </w:r>
      <w:r>
        <w:rPr>
          <w:bCs/>
          <w:sz w:val="24"/>
          <w:szCs w:val="24"/>
          <w:highlight w:val="white"/>
        </w:rPr>
        <w:t xml:space="preserve"> Коэффициент </w:t>
      </w:r>
      <w:r>
        <w:rPr>
          <w:bCs/>
          <w:sz w:val="24"/>
          <w:szCs w:val="24"/>
          <w:highlight w:val="white"/>
          <w:lang w:val="en-US"/>
        </w:rPr>
        <w:t xml:space="preserve">h</w:t>
      </w:r>
      <w:r>
        <w:rPr>
          <w:bCs/>
          <w:sz w:val="24"/>
          <w:szCs w:val="24"/>
          <w:highlight w:val="white"/>
          <w:vertAlign w:val="subscript"/>
        </w:rPr>
        <w:t xml:space="preserve">2</w:t>
      </w:r>
      <w:r>
        <w:rPr>
          <w:bCs/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bCs/>
          <w:sz w:val="24"/>
          <w:szCs w:val="24"/>
          <w:highlight w:val="white"/>
        </w:rPr>
        <w:t xml:space="preserve"> принимается </w:t>
      </w:r>
      <w:r>
        <w:rPr>
          <w:bCs/>
          <w:sz w:val="24"/>
          <w:szCs w:val="24"/>
          <w:highlight w:val="white"/>
        </w:rPr>
        <w:t xml:space="preserve">равным</w:t>
      </w:r>
      <w:r>
        <w:rPr>
          <w:bCs/>
          <w:sz w:val="24"/>
          <w:szCs w:val="24"/>
          <w:highlight w:val="white"/>
        </w:rPr>
        <w:t xml:space="preserve"> не более 1,0</w:t>
      </w:r>
      <w:r>
        <w:rPr>
          <w:bCs/>
          <w:sz w:val="24"/>
          <w:szCs w:val="24"/>
          <w:highlight w:val="white"/>
        </w:rPr>
        <w:t xml:space="preserve">000</w:t>
      </w:r>
      <w:r>
        <w:rPr>
          <w:sz w:val="24"/>
          <w:szCs w:val="24"/>
          <w:highlight w:val="white"/>
        </w:rPr>
        <w:t xml:space="preserve">;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 xml:space="preserve">C</w:t>
      </w:r>
      <w:r>
        <w:rPr>
          <w:sz w:val="24"/>
          <w:szCs w:val="24"/>
          <w:highlight w:val="white"/>
          <w:vertAlign w:val="subscript"/>
        </w:rPr>
        <w:t xml:space="preserve">2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 – объем субсидии из областного бюджета </w:t>
      </w:r>
      <w:r>
        <w:rPr>
          <w:sz w:val="24"/>
          <w:szCs w:val="24"/>
          <w:highlight w:val="white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-му муниципальному образованию на обеспечение выплат стимулирующего характера работникам библиотек;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  <w:highlight w:val="white"/>
          <w:lang w:val="en-US"/>
        </w:rPr>
        <w:t xml:space="preserve">k</w:t>
      </w:r>
      <w:r>
        <w:rPr>
          <w:sz w:val="24"/>
          <w:szCs w:val="24"/>
          <w:highlight w:val="white"/>
          <w:vertAlign w:val="subscript"/>
        </w:rPr>
        <w:t xml:space="preserve">2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 – коэффициент типа поселения.</w:t>
      </w:r>
      <w:r>
        <w:rPr>
          <w:sz w:val="24"/>
          <w:szCs w:val="24"/>
          <w:highlight w:val="white"/>
        </w:rPr>
        <w:t xml:space="preserve"> На 2025 год коэффициент </w:t>
      </w:r>
      <w:r>
        <w:rPr>
          <w:sz w:val="24"/>
          <w:szCs w:val="24"/>
          <w:highlight w:val="white"/>
          <w:lang w:val="en-US"/>
        </w:rPr>
        <w:t xml:space="preserve">k</w:t>
      </w:r>
      <w:r>
        <w:rPr>
          <w:sz w:val="24"/>
          <w:szCs w:val="24"/>
          <w:highlight w:val="white"/>
          <w:vertAlign w:val="subscript"/>
        </w:rPr>
        <w:t xml:space="preserve">2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 принимается </w:t>
      </w:r>
      <w:r>
        <w:rPr>
          <w:sz w:val="24"/>
          <w:szCs w:val="24"/>
          <w:highlight w:val="white"/>
        </w:rPr>
        <w:t xml:space="preserve">равным</w:t>
      </w:r>
      <w:r>
        <w:rPr>
          <w:sz w:val="24"/>
          <w:szCs w:val="24"/>
          <w:highlight w:val="white"/>
        </w:rPr>
        <w:t xml:space="preserve"> для городского поселения 1, для сельского поселения 0; на 2026 и 2027 годы коэффициент </w:t>
      </w:r>
      <w:r>
        <w:rPr>
          <w:sz w:val="24"/>
          <w:szCs w:val="24"/>
          <w:highlight w:val="white"/>
          <w:lang w:val="en-US"/>
        </w:rPr>
        <w:t xml:space="preserve">k</w:t>
      </w:r>
      <w:r>
        <w:rPr>
          <w:sz w:val="24"/>
          <w:szCs w:val="24"/>
          <w:highlight w:val="white"/>
          <w:vertAlign w:val="subscript"/>
        </w:rPr>
        <w:t xml:space="preserve">2</w:t>
      </w:r>
      <w:r>
        <w:rPr>
          <w:sz w:val="24"/>
          <w:szCs w:val="24"/>
          <w:highlight w:val="white"/>
          <w:vertAlign w:val="subscript"/>
          <w:lang w:val="en-US"/>
        </w:rPr>
        <w:t xml:space="preserve">i</w:t>
      </w:r>
      <w:r>
        <w:rPr>
          <w:sz w:val="24"/>
          <w:szCs w:val="24"/>
          <w:highlight w:val="white"/>
        </w:rPr>
        <w:t xml:space="preserve"> принимается равным 0.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 Перечисление </w:t>
      </w:r>
      <w:r>
        <w:rPr>
          <w:bCs/>
          <w:sz w:val="24"/>
          <w:szCs w:val="24"/>
        </w:rPr>
        <w:t xml:space="preserve">межбюджетных трансфертов</w:t>
      </w:r>
      <w:r>
        <w:rPr>
          <w:sz w:val="24"/>
          <w:szCs w:val="24"/>
        </w:rPr>
        <w:t xml:space="preserve"> осуществляется комитетом финансов администрации муниципального образования Сланцевский муниципальный район Ленинградской области (далее – комитет финансов) в соответствии со сводной бюджетной росписью бюджет</w:t>
      </w:r>
      <w:r>
        <w:rPr>
          <w:sz w:val="24"/>
          <w:szCs w:val="24"/>
        </w:rPr>
        <w:t xml:space="preserve">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трансфертах. 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5. </w:t>
      </w:r>
      <w:r>
        <w:rPr>
          <w:sz w:val="24"/>
          <w:szCs w:val="24"/>
        </w:rPr>
        <w:t xml:space="preserve">Администрации муниципальных образований на основании доведенных до них уведомлений по расчетам между бюджетами в установленном порядке осуществляют учет </w:t>
      </w:r>
      <w:r>
        <w:rPr>
          <w:sz w:val="24"/>
          <w:szCs w:val="24"/>
        </w:rPr>
        <w:t xml:space="preserve">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предоставляют в комитет финансов отчеты об использовании полученных межбюджетных трансфертов в сроки сдачи квартальных и </w:t>
      </w:r>
      <w:r>
        <w:rPr>
          <w:sz w:val="24"/>
          <w:szCs w:val="24"/>
        </w:rPr>
        <w:t xml:space="preserve">годового</w:t>
      </w:r>
      <w:r>
        <w:rPr>
          <w:sz w:val="24"/>
          <w:szCs w:val="24"/>
        </w:rPr>
        <w:t xml:space="preserve"> отчетов. 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 Межбюджетные трансферты используются на финансовое обеспечение исполнения расходных обязательств муниципальных образований в соответствии с планами мероприятий («дорожными картами»), а именно: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на выплаты стимулирующего характера работникам учреждений культуры и библиотек поселений и на начисления по этим выплатам.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и на учреждения культуры.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8. </w:t>
      </w:r>
      <w:r>
        <w:rPr>
          <w:bCs/>
          <w:spacing w:val="-3"/>
          <w:sz w:val="24"/>
          <w:szCs w:val="24"/>
        </w:rPr>
        <w:t xml:space="preserve"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 Наличие остатков на лицевом</w:t>
      </w:r>
      <w:r>
        <w:rPr>
          <w:sz w:val="24"/>
          <w:szCs w:val="24"/>
        </w:rPr>
        <w:t xml:space="preserve"> счете на начало очередного финансового года не допускается. Не использованные в течение текущего финансового года денежные средства перечисляются в сроки, установленные для завершения текущего финансового года, в бюджет Сланцевского муниципального района.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10. 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использованием межбюджетных трансфертов администрациями муниципальных образований и учреждениями культуры возлагается на комитет финансов администрации муниципального образования Сланцевский муниципальный район Ленинградской области.</w:t>
      </w:r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567" w:right="567" w:bottom="567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5"/>
    <w:link w:val="687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widowControl w:val="off"/>
    </w:pPr>
    <w:rPr>
      <w:lang w:eastAsia="ru-RU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5"/>
    <w:next w:val="655"/>
    <w:uiPriority w:val="99"/>
    <w:unhideWhenUsed/>
  </w:style>
  <w:style w:type="paragraph" w:styleId="837" w:customStyle="1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838">
    <w:name w:val="Body Text"/>
    <w:basedOn w:val="655"/>
    <w:rPr>
      <w:sz w:val="28"/>
    </w:rPr>
  </w:style>
  <w:style w:type="paragraph" w:styleId="839">
    <w:name w:val="Body Text Indent"/>
    <w:basedOn w:val="655"/>
    <w:pPr>
      <w:ind w:firstLine="720"/>
    </w:pPr>
    <w:rPr>
      <w:sz w:val="28"/>
    </w:rPr>
  </w:style>
  <w:style w:type="paragraph" w:styleId="840">
    <w:name w:val="Body Text Indent 2"/>
    <w:basedOn w:val="655"/>
    <w:pPr>
      <w:ind w:firstLine="720"/>
      <w:jc w:val="both"/>
    </w:pPr>
    <w:rPr>
      <w:sz w:val="28"/>
    </w:rPr>
  </w:style>
  <w:style w:type="paragraph" w:styleId="841">
    <w:name w:val="Balloon Text"/>
    <w:basedOn w:val="655"/>
    <w:link w:val="842"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link w:val="84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Фин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revision>53</cp:revision>
  <dcterms:created xsi:type="dcterms:W3CDTF">2008-08-29T11:26:00Z</dcterms:created>
  <dcterms:modified xsi:type="dcterms:W3CDTF">2024-12-19T12:42:47Z</dcterms:modified>
  <cp:version>917504</cp:version>
</cp:coreProperties>
</file>