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E" w:rsidRPr="005779AE" w:rsidRDefault="005779AE" w:rsidP="005779AE">
      <w:pPr>
        <w:autoSpaceDE w:val="0"/>
        <w:jc w:val="right"/>
      </w:pPr>
      <w:r w:rsidRPr="005779AE">
        <w:t>УТВЕРЖДЕН</w:t>
      </w:r>
    </w:p>
    <w:p w:rsidR="005779AE" w:rsidRPr="005779AE" w:rsidRDefault="005779AE" w:rsidP="005779AE">
      <w:pPr>
        <w:autoSpaceDE w:val="0"/>
        <w:jc w:val="right"/>
      </w:pPr>
      <w:r w:rsidRPr="005779AE">
        <w:t>решением совета депутатов</w:t>
      </w:r>
    </w:p>
    <w:p w:rsidR="005779AE" w:rsidRPr="005779AE" w:rsidRDefault="005779AE" w:rsidP="005779AE">
      <w:pPr>
        <w:autoSpaceDE w:val="0"/>
        <w:jc w:val="right"/>
      </w:pPr>
      <w:r w:rsidRPr="005779AE">
        <w:t xml:space="preserve">муниципального образования </w:t>
      </w:r>
    </w:p>
    <w:p w:rsidR="005779AE" w:rsidRPr="005779AE" w:rsidRDefault="005779AE" w:rsidP="005779AE">
      <w:pPr>
        <w:autoSpaceDE w:val="0"/>
        <w:jc w:val="right"/>
      </w:pPr>
      <w:r w:rsidRPr="005779AE">
        <w:t xml:space="preserve">Сланцевский муниципальный район </w:t>
      </w:r>
    </w:p>
    <w:p w:rsidR="005779AE" w:rsidRPr="005779AE" w:rsidRDefault="005779AE" w:rsidP="005779AE">
      <w:pPr>
        <w:autoSpaceDE w:val="0"/>
        <w:jc w:val="right"/>
      </w:pPr>
      <w:r w:rsidRPr="005779AE">
        <w:t>Ленинградской области</w:t>
      </w:r>
    </w:p>
    <w:p w:rsidR="005779AE" w:rsidRPr="005779AE" w:rsidRDefault="005779AE" w:rsidP="005779AE">
      <w:pPr>
        <w:autoSpaceDE w:val="0"/>
        <w:jc w:val="right"/>
      </w:pPr>
      <w:r w:rsidRPr="005779AE">
        <w:t>от  _______  №  ____ -рсд</w:t>
      </w:r>
    </w:p>
    <w:p w:rsidR="005779AE" w:rsidRPr="005779AE" w:rsidRDefault="005779AE" w:rsidP="005779AE">
      <w:pPr>
        <w:autoSpaceDE w:val="0"/>
        <w:ind w:firstLine="540"/>
        <w:jc w:val="both"/>
      </w:pPr>
    </w:p>
    <w:p w:rsidR="005779AE" w:rsidRDefault="005779AE" w:rsidP="005779AE">
      <w:pPr>
        <w:autoSpaceDE w:val="0"/>
        <w:ind w:firstLine="540"/>
        <w:jc w:val="both"/>
      </w:pPr>
    </w:p>
    <w:p w:rsidR="005779AE" w:rsidRPr="005779AE" w:rsidRDefault="005779AE" w:rsidP="005779AE">
      <w:pPr>
        <w:autoSpaceDE w:val="0"/>
        <w:ind w:firstLine="540"/>
        <w:jc w:val="both"/>
      </w:pPr>
    </w:p>
    <w:p w:rsidR="005779AE" w:rsidRPr="005779AE" w:rsidRDefault="005779AE" w:rsidP="005779AE">
      <w:pPr>
        <w:autoSpaceDE w:val="0"/>
        <w:jc w:val="center"/>
        <w:rPr>
          <w:b/>
          <w:bCs/>
          <w:sz w:val="22"/>
          <w:szCs w:val="22"/>
        </w:rPr>
      </w:pPr>
      <w:r w:rsidRPr="005779AE">
        <w:rPr>
          <w:b/>
          <w:bCs/>
          <w:sz w:val="22"/>
          <w:szCs w:val="22"/>
        </w:rPr>
        <w:t>ПОРЯДОК</w:t>
      </w:r>
    </w:p>
    <w:p w:rsidR="005779AE" w:rsidRPr="005779AE" w:rsidRDefault="005779AE" w:rsidP="005779AE">
      <w:pPr>
        <w:autoSpaceDE w:val="0"/>
        <w:jc w:val="center"/>
        <w:rPr>
          <w:b/>
          <w:bCs/>
          <w:sz w:val="22"/>
          <w:szCs w:val="22"/>
        </w:rPr>
      </w:pPr>
      <w:r w:rsidRPr="005779AE">
        <w:rPr>
          <w:b/>
          <w:bCs/>
          <w:sz w:val="22"/>
          <w:szCs w:val="22"/>
        </w:rPr>
        <w:t xml:space="preserve">ОПРЕДЕЛЕНИЯ РАЗМЕРА АРЕНДНОЙ ПЛАТЫ </w:t>
      </w:r>
    </w:p>
    <w:p w:rsidR="005779AE" w:rsidRPr="005779AE" w:rsidRDefault="005779AE" w:rsidP="005779AE">
      <w:pPr>
        <w:autoSpaceDE w:val="0"/>
        <w:jc w:val="center"/>
        <w:rPr>
          <w:b/>
          <w:bCs/>
          <w:sz w:val="18"/>
          <w:szCs w:val="18"/>
        </w:rPr>
      </w:pPr>
      <w:r w:rsidRPr="005779AE">
        <w:rPr>
          <w:b/>
          <w:bCs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5779AE" w:rsidRPr="005779AE" w:rsidRDefault="005779AE" w:rsidP="005779AE">
      <w:pPr>
        <w:autoSpaceDE w:val="0"/>
        <w:jc w:val="center"/>
        <w:rPr>
          <w:sz w:val="18"/>
          <w:szCs w:val="18"/>
        </w:rPr>
      </w:pPr>
    </w:p>
    <w:p w:rsidR="005779AE" w:rsidRPr="005779AE" w:rsidRDefault="005779AE" w:rsidP="005779AE">
      <w:pPr>
        <w:autoSpaceDE w:val="0"/>
        <w:jc w:val="center"/>
        <w:rPr>
          <w:sz w:val="18"/>
          <w:szCs w:val="18"/>
        </w:rPr>
      </w:pPr>
    </w:p>
    <w:p w:rsidR="005779AE" w:rsidRPr="005779AE" w:rsidRDefault="005779AE" w:rsidP="005779AE">
      <w:pPr>
        <w:autoSpaceDE w:val="0"/>
        <w:ind w:firstLine="540"/>
        <w:jc w:val="center"/>
        <w:rPr>
          <w:rFonts w:ascii="Arial" w:hAnsi="Arial" w:cs="Arial"/>
          <w:sz w:val="20"/>
          <w:szCs w:val="20"/>
        </w:rPr>
      </w:pPr>
      <w:r w:rsidRPr="005779AE">
        <w:rPr>
          <w:b/>
        </w:rPr>
        <w:t>1. Общие положения</w:t>
      </w:r>
    </w:p>
    <w:p w:rsidR="005779AE" w:rsidRPr="005779AE" w:rsidRDefault="005779AE" w:rsidP="005779AE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</w:t>
      </w:r>
      <w:r w:rsidRPr="005779AE">
        <w:rPr>
          <w:sz w:val="22"/>
          <w:szCs w:val="22"/>
          <w:lang w:eastAsia="en-US"/>
        </w:rPr>
        <w:t>Сланцевский муниципальный район</w:t>
      </w:r>
      <w:r w:rsidRPr="005779AE">
        <w:rPr>
          <w:lang w:eastAsia="en-US"/>
        </w:rPr>
        <w:t>Ленинградской области, предоставленных без проведения торгов.</w:t>
      </w: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</w:t>
      </w:r>
      <w:r w:rsidR="008E7C73" w:rsidRPr="005779AE">
        <w:rPr>
          <w:lang w:eastAsia="en-US"/>
        </w:rPr>
        <w:t>документами</w:t>
      </w:r>
      <w:r w:rsidRPr="005779AE">
        <w:rPr>
          <w:lang w:eastAsia="en-US"/>
        </w:rPr>
        <w:t xml:space="preserve">. </w:t>
      </w: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 xml:space="preserve">1.5. Размер арендной платы за земельный участок, устанавливаемый в договоре аренды, определяется в соответствии с порядком определения арендной платы, если иное не предусмотрено федеральным законодательством и областным законодательством.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:rsidR="005779AE" w:rsidRPr="005779AE" w:rsidRDefault="005779AE" w:rsidP="005779AE">
      <w:pPr>
        <w:suppressAutoHyphens w:val="0"/>
        <w:jc w:val="center"/>
        <w:rPr>
          <w:lang w:eastAsia="en-US"/>
        </w:rPr>
      </w:pPr>
    </w:p>
    <w:p w:rsidR="005779AE" w:rsidRPr="005779AE" w:rsidRDefault="005779AE" w:rsidP="005779AE">
      <w:pPr>
        <w:suppressAutoHyphens w:val="0"/>
        <w:jc w:val="center"/>
        <w:rPr>
          <w:b/>
          <w:lang w:eastAsia="en-US"/>
        </w:rPr>
      </w:pPr>
      <w:r w:rsidRPr="005779AE">
        <w:rPr>
          <w:b/>
          <w:lang w:eastAsia="en-US"/>
        </w:rPr>
        <w:t xml:space="preserve">2. Порядок определения арендной платы </w:t>
      </w:r>
    </w:p>
    <w:p w:rsidR="005779AE" w:rsidRPr="005779AE" w:rsidRDefault="005779AE" w:rsidP="005779AE">
      <w:pPr>
        <w:suppressAutoHyphens w:val="0"/>
        <w:jc w:val="center"/>
        <w:rPr>
          <w:b/>
          <w:lang w:eastAsia="en-US"/>
        </w:rPr>
      </w:pPr>
      <w:r w:rsidRPr="005779AE">
        <w:rPr>
          <w:b/>
          <w:lang w:eastAsia="en-US"/>
        </w:rPr>
        <w:t>за использование земельного участка.</w:t>
      </w: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</w:p>
    <w:p w:rsidR="005779AE" w:rsidRPr="005779AE" w:rsidRDefault="005779AE" w:rsidP="005779AE">
      <w:pPr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2.1. Расчет арендной платы за использование земельного участка осуществляется по формуле:</w:t>
      </w:r>
    </w:p>
    <w:p w:rsidR="005779AE" w:rsidRDefault="006347BD" w:rsidP="005779AE">
      <w:pPr>
        <w:jc w:val="center"/>
      </w:pPr>
      <w:r w:rsidRPr="005779AE">
        <w:fldChar w:fldCharType="begin"/>
      </w:r>
      <w:r w:rsidR="005779AE" w:rsidRPr="005779AE">
        <w:instrText xml:space="preserve"> QUOTE </w:instrText>
      </w:r>
      <w:r w:rsidR="00B11E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1pt;height:16.3pt" equationxml="&lt;">
            <v:imagedata r:id="rId7" o:title="" chromakey="white"/>
          </v:shape>
        </w:pict>
      </w:r>
      <w:r w:rsidRPr="005779AE">
        <w:fldChar w:fldCharType="end"/>
      </w:r>
      <w:r w:rsidR="005779AE" w:rsidRPr="005779AE">
        <w:t xml:space="preserve">А = Б х </w:t>
      </w:r>
      <w:r w:rsidR="005779AE" w:rsidRPr="005779AE">
        <w:rPr>
          <w:lang w:val="en-US"/>
        </w:rPr>
        <w:t>S</w:t>
      </w:r>
      <w:r w:rsidR="005779AE" w:rsidRPr="005779AE">
        <w:t xml:space="preserve"> х Кри х Ку</w:t>
      </w:r>
      <w:r w:rsidR="005779AE" w:rsidRPr="005779AE">
        <w:rPr>
          <w:i/>
        </w:rPr>
        <w:t xml:space="preserve"> ,</w:t>
      </w:r>
      <w:r w:rsidR="005779AE" w:rsidRPr="005779AE">
        <w:t>где:</w:t>
      </w:r>
    </w:p>
    <w:p w:rsidR="008E7C73" w:rsidRPr="005779AE" w:rsidRDefault="008E7C73" w:rsidP="005779AE">
      <w:pPr>
        <w:jc w:val="center"/>
        <w:rPr>
          <w:i/>
        </w:rPr>
      </w:pPr>
    </w:p>
    <w:p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:rsidR="005779AE" w:rsidRPr="005779AE" w:rsidRDefault="005779AE" w:rsidP="005779AE">
      <w:pPr>
        <w:ind w:firstLine="709"/>
        <w:jc w:val="both"/>
      </w:pPr>
      <w:r w:rsidRPr="005779AE">
        <w:t>Б – базовая ставка арендной платы, руб./кв. м, определяется в соответствии с таблицей 1 к настоящему Порядку;</w:t>
      </w:r>
    </w:p>
    <w:p w:rsidR="005779AE" w:rsidRPr="005779AE" w:rsidRDefault="005779AE" w:rsidP="005779AE">
      <w:pPr>
        <w:ind w:firstLine="709"/>
        <w:jc w:val="both"/>
      </w:pPr>
      <w:r w:rsidRPr="005779AE">
        <w:rPr>
          <w:lang w:val="en-US"/>
        </w:rPr>
        <w:t>S</w:t>
      </w:r>
      <w:r w:rsidRPr="005779AE">
        <w:t xml:space="preserve"> – площадь земельного участка, кв. м;</w:t>
      </w:r>
    </w:p>
    <w:p w:rsidR="005779AE" w:rsidRPr="005779AE" w:rsidRDefault="005779AE" w:rsidP="005779AE">
      <w:pPr>
        <w:ind w:firstLine="709"/>
        <w:jc w:val="both"/>
      </w:pPr>
      <w:r w:rsidRPr="005779AE">
        <w:t xml:space="preserve">Кри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:rsidR="005779AE" w:rsidRPr="005779AE" w:rsidRDefault="005779AE" w:rsidP="005779AE">
      <w:pPr>
        <w:ind w:firstLine="709"/>
        <w:jc w:val="both"/>
      </w:pPr>
      <w:r w:rsidRPr="005779AE">
        <w:t>2.2.В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5779AE" w:rsidRPr="005779AE" w:rsidRDefault="005779AE" w:rsidP="005779AE">
      <w:pPr>
        <w:ind w:firstLine="709"/>
        <w:jc w:val="both"/>
      </w:pPr>
    </w:p>
    <w:p w:rsidR="005779AE" w:rsidRDefault="005779AE" w:rsidP="005779AE">
      <w:pPr>
        <w:ind w:right="-568"/>
        <w:jc w:val="center"/>
      </w:pPr>
      <w:r w:rsidRPr="005779AE">
        <w:t xml:space="preserve">А = Б х S1 х Кри х Ку + Б х S2 х Кри х Ку  + Б х </w:t>
      </w:r>
      <w:r w:rsidRPr="005779AE">
        <w:rPr>
          <w:lang w:val="en-US"/>
        </w:rPr>
        <w:t>S</w:t>
      </w:r>
      <w:r w:rsidRPr="005779AE">
        <w:t>п х Кри х Ку,  где:</w:t>
      </w:r>
    </w:p>
    <w:p w:rsidR="008E7C73" w:rsidRPr="005779AE" w:rsidRDefault="008E7C73" w:rsidP="005779AE">
      <w:pPr>
        <w:ind w:right="-568"/>
        <w:jc w:val="center"/>
      </w:pPr>
    </w:p>
    <w:p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:rsidR="005779AE" w:rsidRPr="005779AE" w:rsidRDefault="005779AE" w:rsidP="005779AE">
      <w:pPr>
        <w:ind w:firstLine="709"/>
        <w:jc w:val="both"/>
      </w:pPr>
      <w:r w:rsidRPr="005779AE">
        <w:t>Б – базовая ставка арендной платы, руб./кв. м, определяется в соответствии с таблицей 1 к настоящему Порядку;</w:t>
      </w:r>
    </w:p>
    <w:p w:rsidR="005779AE" w:rsidRPr="005779AE" w:rsidRDefault="006347BD" w:rsidP="005779AE">
      <w:pPr>
        <w:ind w:firstLine="709"/>
        <w:jc w:val="both"/>
      </w:pPr>
      <w:r w:rsidRPr="005779AE">
        <w:fldChar w:fldCharType="begin"/>
      </w:r>
      <w:r w:rsidR="005779AE" w:rsidRPr="005779AE">
        <w:instrText xml:space="preserve"> QUOTE </w:instrText>
      </w:r>
      <w:r w:rsidR="00B11ECC">
        <w:pict>
          <v:shape id="_x0000_i1026" type="#_x0000_t75" style="width:51.35pt;height:13.75pt" equationxml="&lt;">
            <v:imagedata r:id="rId8" o:title="" chromakey="white"/>
          </v:shape>
        </w:pict>
      </w:r>
      <w:r w:rsidRPr="005779AE">
        <w:fldChar w:fldCharType="separate"/>
      </w:r>
      <w:r w:rsidR="00B11ECC">
        <w:pict>
          <v:shape id="_x0000_i1027" type="#_x0000_t75" style="width:51.35pt;height:13.75pt" equationxml="&lt;">
            <v:imagedata r:id="rId8" o:title="" chromakey="white"/>
          </v:shape>
        </w:pict>
      </w:r>
      <w:r w:rsidRPr="005779AE">
        <w:fldChar w:fldCharType="end"/>
      </w:r>
      <w:r w:rsidR="005779AE" w:rsidRPr="005779AE">
        <w:t xml:space="preserve"> – площадь объектов каждого вида функционального использования на земельном участке;</w:t>
      </w:r>
    </w:p>
    <w:p w:rsidR="005779AE" w:rsidRPr="005779AE" w:rsidRDefault="005779AE" w:rsidP="005779AE">
      <w:pPr>
        <w:ind w:firstLine="709"/>
        <w:jc w:val="both"/>
      </w:pPr>
      <w:r w:rsidRPr="005779AE">
        <w:t>Кри – коэффициент разрешенного использования земельного участка, значение которого определяется в соответствии с таблицей 2 к настоящему Порядку.</w:t>
      </w:r>
    </w:p>
    <w:p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2.3. При предоставлении земельных участков в аренду в соответствии с областным законом от 14 октября 2008 года № 105-оз 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</w:p>
    <w:p w:rsidR="005779AE" w:rsidRPr="005779AE" w:rsidRDefault="005779AE" w:rsidP="005779AE">
      <w:pPr>
        <w:jc w:val="center"/>
        <w:rPr>
          <w:i/>
        </w:rPr>
      </w:pPr>
      <w:r w:rsidRPr="005779AE">
        <w:t xml:space="preserve">А = 0,16 х </w:t>
      </w:r>
      <w:r w:rsidRPr="005779AE">
        <w:rPr>
          <w:lang w:val="en-US"/>
        </w:rPr>
        <w:t>S</w:t>
      </w:r>
      <w:r w:rsidRPr="005779AE">
        <w:t xml:space="preserve"> х Кри х Ку,     где:</w:t>
      </w:r>
    </w:p>
    <w:p w:rsidR="005779AE" w:rsidRPr="005779AE" w:rsidRDefault="005779AE" w:rsidP="005779AE">
      <w:pPr>
        <w:jc w:val="both"/>
      </w:pPr>
      <w:r w:rsidRPr="005779AE">
        <w:t>А – расчетная сумма арендной платы за использование земельного участка, руб. в год;</w:t>
      </w:r>
    </w:p>
    <w:p w:rsidR="005779AE" w:rsidRPr="005779AE" w:rsidRDefault="005779AE" w:rsidP="005779AE">
      <w:pPr>
        <w:ind w:firstLine="709"/>
        <w:jc w:val="both"/>
      </w:pPr>
      <w:r w:rsidRPr="005779AE">
        <w:t>0,16 – базовая ставка арендной платы, руб./кв. м;</w:t>
      </w:r>
    </w:p>
    <w:p w:rsidR="005779AE" w:rsidRPr="005779AE" w:rsidRDefault="005779AE" w:rsidP="005779AE">
      <w:pPr>
        <w:ind w:firstLine="709"/>
        <w:jc w:val="both"/>
      </w:pPr>
      <w:r w:rsidRPr="005779AE">
        <w:rPr>
          <w:lang w:val="en-US"/>
        </w:rPr>
        <w:t>S</w:t>
      </w:r>
      <w:r w:rsidRPr="005779AE">
        <w:t xml:space="preserve"> – площадь земельного участка, кв. м;</w:t>
      </w:r>
    </w:p>
    <w:p w:rsidR="005779AE" w:rsidRPr="005779AE" w:rsidRDefault="005779AE" w:rsidP="005779AE">
      <w:pPr>
        <w:ind w:firstLine="709"/>
        <w:jc w:val="both"/>
      </w:pPr>
      <w:r w:rsidRPr="005779AE">
        <w:t xml:space="preserve">Кри – коэффициент разрешенного использования земельного участка, значение которого определяется в соответствии с таблицей 2 к настоящему Порядку. </w:t>
      </w:r>
    </w:p>
    <w:p w:rsidR="005779AE" w:rsidRPr="005779AE" w:rsidRDefault="005779AE" w:rsidP="005779AE">
      <w:pPr>
        <w:ind w:firstLine="709"/>
        <w:jc w:val="both"/>
      </w:pPr>
      <w:r w:rsidRPr="005779AE">
        <w:t>Ку – коэффициент учета водоохранной зоны и прибрежной защитной полосы, определяемый в соответствии с таблицей 3 к настоящему Порядку. Применяется только для площадей обременений в виде водоохранной зоны и (или) прибрежной защитной полосы (по данным выписки из единого государственного реестра недвижимости).</w:t>
      </w:r>
    </w:p>
    <w:p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2.4. Размер арендной платы определяется в размере не выше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5779AE" w:rsidRPr="005779AE" w:rsidRDefault="005779AE" w:rsidP="005779AE">
      <w:pPr>
        <w:tabs>
          <w:tab w:val="left" w:pos="1418"/>
        </w:tabs>
        <w:suppressAutoHyphens w:val="0"/>
        <w:ind w:firstLine="709"/>
        <w:jc w:val="both"/>
        <w:rPr>
          <w:lang w:eastAsia="en-US"/>
        </w:rPr>
      </w:pPr>
      <w:r w:rsidRPr="005779AE">
        <w:rPr>
          <w:lang w:eastAsia="en-US"/>
        </w:rPr>
        <w:t>2.5.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5779AE" w:rsidRPr="005779AE" w:rsidRDefault="005779AE" w:rsidP="005779AE">
      <w:pPr>
        <w:jc w:val="center"/>
        <w:rPr>
          <w:b/>
        </w:rPr>
      </w:pPr>
    </w:p>
    <w:p w:rsidR="005779AE" w:rsidRPr="005779AE" w:rsidRDefault="005779AE" w:rsidP="005779AE">
      <w:pPr>
        <w:jc w:val="center"/>
        <w:rPr>
          <w:b/>
        </w:rPr>
      </w:pPr>
      <w:r w:rsidRPr="005779AE">
        <w:rPr>
          <w:b/>
        </w:rPr>
        <w:t xml:space="preserve">Базовая ставка арендной платы  (Б)                           </w:t>
      </w:r>
    </w:p>
    <w:p w:rsidR="005779AE" w:rsidRPr="005779AE" w:rsidRDefault="005779AE" w:rsidP="005779AE">
      <w:pPr>
        <w:jc w:val="right"/>
        <w:rPr>
          <w:b/>
        </w:rPr>
      </w:pPr>
      <w:r w:rsidRPr="005779AE"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980"/>
      </w:tblGrid>
      <w:tr w:rsidR="005779AE" w:rsidRPr="005779AE" w:rsidTr="0005149B">
        <w:trPr>
          <w:trHeight w:val="180"/>
        </w:trPr>
        <w:tc>
          <w:tcPr>
            <w:tcW w:w="7020" w:type="dxa"/>
          </w:tcPr>
          <w:p w:rsidR="005779AE" w:rsidRPr="005779AE" w:rsidRDefault="005779AE" w:rsidP="005779AE">
            <w:pPr>
              <w:jc w:val="both"/>
            </w:pPr>
          </w:p>
        </w:tc>
        <w:tc>
          <w:tcPr>
            <w:tcW w:w="1980" w:type="dxa"/>
          </w:tcPr>
          <w:p w:rsidR="008E7C73" w:rsidRDefault="005779AE" w:rsidP="005779AE">
            <w:pPr>
              <w:jc w:val="both"/>
            </w:pPr>
            <w:r w:rsidRPr="005779AE">
              <w:t xml:space="preserve">Ставка арендной платы, руб. </w:t>
            </w:r>
          </w:p>
          <w:p w:rsidR="005779AE" w:rsidRPr="005779AE" w:rsidRDefault="005779AE" w:rsidP="005779AE">
            <w:pPr>
              <w:jc w:val="both"/>
            </w:pPr>
            <w:r w:rsidRPr="005779AE">
              <w:t>за кв.м. в год</w:t>
            </w:r>
          </w:p>
        </w:tc>
      </w:tr>
      <w:tr w:rsidR="005779AE" w:rsidRPr="005779AE" w:rsidTr="0005149B">
        <w:trPr>
          <w:trHeight w:val="180"/>
        </w:trPr>
        <w:tc>
          <w:tcPr>
            <w:tcW w:w="7020" w:type="dxa"/>
          </w:tcPr>
          <w:p w:rsidR="005779AE" w:rsidRPr="005779AE" w:rsidRDefault="005779AE" w:rsidP="005779AE">
            <w:pPr>
              <w:jc w:val="both"/>
              <w:rPr>
                <w:bCs/>
                <w:color w:val="000000"/>
              </w:rPr>
            </w:pPr>
            <w:r w:rsidRPr="005779AE">
              <w:t>Земли населенных пунктов</w:t>
            </w:r>
            <w:r w:rsidRPr="005779AE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2.3)</w:t>
            </w:r>
          </w:p>
          <w:p w:rsidR="005779AE" w:rsidRPr="005779AE" w:rsidRDefault="005779AE" w:rsidP="005779AE">
            <w:pPr>
              <w:jc w:val="both"/>
              <w:rPr>
                <w:bCs/>
                <w:color w:val="000000"/>
              </w:rPr>
            </w:pPr>
            <w:r w:rsidRPr="005779AE">
              <w:rPr>
                <w:bCs/>
                <w:color w:val="000000"/>
              </w:rPr>
              <w:t>-в сельских населенных пунктах</w:t>
            </w:r>
          </w:p>
          <w:p w:rsidR="005779AE" w:rsidRPr="005779AE" w:rsidRDefault="005779AE" w:rsidP="005779AE">
            <w:pPr>
              <w:jc w:val="both"/>
              <w:rPr>
                <w:b/>
              </w:rPr>
            </w:pPr>
            <w:r w:rsidRPr="005779AE"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5779AE" w:rsidRPr="005779AE" w:rsidRDefault="005779AE" w:rsidP="005779AE">
            <w:pPr>
              <w:jc w:val="center"/>
            </w:pPr>
          </w:p>
          <w:p w:rsidR="005779AE" w:rsidRPr="005779AE" w:rsidRDefault="005779AE" w:rsidP="005779AE">
            <w:pPr>
              <w:jc w:val="center"/>
            </w:pPr>
          </w:p>
          <w:p w:rsidR="005779AE" w:rsidRPr="005779AE" w:rsidRDefault="005779AE" w:rsidP="005779AE">
            <w:pPr>
              <w:jc w:val="center"/>
            </w:pPr>
          </w:p>
          <w:p w:rsidR="005779AE" w:rsidRPr="005779AE" w:rsidRDefault="005779AE" w:rsidP="005779AE">
            <w:pPr>
              <w:jc w:val="center"/>
            </w:pPr>
            <w:r w:rsidRPr="005779AE">
              <w:t>1,3427007</w:t>
            </w:r>
          </w:p>
          <w:p w:rsidR="005779AE" w:rsidRPr="005779AE" w:rsidRDefault="005779AE" w:rsidP="005779AE">
            <w:pPr>
              <w:jc w:val="center"/>
            </w:pPr>
            <w:r w:rsidRPr="005779AE">
              <w:t>19,7924122</w:t>
            </w:r>
          </w:p>
        </w:tc>
      </w:tr>
    </w:tbl>
    <w:p w:rsidR="005779AE" w:rsidRPr="005779AE" w:rsidRDefault="005779AE" w:rsidP="005779AE">
      <w:pPr>
        <w:jc w:val="both"/>
      </w:pPr>
    </w:p>
    <w:p w:rsidR="005779AE" w:rsidRPr="005779AE" w:rsidRDefault="005779AE" w:rsidP="005779AE">
      <w:pPr>
        <w:jc w:val="both"/>
        <w:rPr>
          <w:sz w:val="22"/>
        </w:rPr>
      </w:pPr>
    </w:p>
    <w:p w:rsidR="005779AE" w:rsidRPr="005779AE" w:rsidRDefault="005779AE" w:rsidP="005779AE">
      <w:pPr>
        <w:jc w:val="both"/>
        <w:rPr>
          <w:sz w:val="22"/>
        </w:rPr>
      </w:pPr>
    </w:p>
    <w:p w:rsidR="005779AE" w:rsidRPr="005779AE" w:rsidRDefault="005779AE" w:rsidP="005779AE">
      <w:pPr>
        <w:jc w:val="both"/>
        <w:rPr>
          <w:sz w:val="22"/>
        </w:rPr>
      </w:pPr>
    </w:p>
    <w:p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Pr="005779AE" w:rsidRDefault="005779AE" w:rsidP="005779AE">
      <w:pPr>
        <w:widowControl w:val="0"/>
        <w:autoSpaceDE w:val="0"/>
        <w:jc w:val="center"/>
        <w:rPr>
          <w:b/>
          <w:bCs/>
        </w:rPr>
      </w:pPr>
    </w:p>
    <w:p w:rsidR="005779AE" w:rsidRPr="005779AE" w:rsidRDefault="005779AE" w:rsidP="005779AE">
      <w:pPr>
        <w:widowControl w:val="0"/>
        <w:autoSpaceDE w:val="0"/>
        <w:jc w:val="center"/>
        <w:rPr>
          <w:b/>
          <w:bCs/>
        </w:rPr>
      </w:pPr>
      <w:r w:rsidRPr="005779AE">
        <w:rPr>
          <w:b/>
          <w:bCs/>
        </w:rPr>
        <w:t>Коэффициент разрешенного использования земельного участка (Кри)</w:t>
      </w:r>
    </w:p>
    <w:p w:rsidR="005779AE" w:rsidRPr="005779AE" w:rsidRDefault="005779AE" w:rsidP="005779AE">
      <w:pPr>
        <w:widowControl w:val="0"/>
        <w:autoSpaceDE w:val="0"/>
        <w:jc w:val="right"/>
        <w:rPr>
          <w:b/>
          <w:bCs/>
        </w:rPr>
      </w:pPr>
      <w:r w:rsidRPr="005779AE"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6"/>
        <w:gridCol w:w="5262"/>
        <w:gridCol w:w="1365"/>
      </w:tblGrid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Кри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779AE" w:rsidRPr="005779AE" w:rsidTr="0005149B">
        <w:trPr>
          <w:trHeight w:val="315"/>
        </w:trPr>
        <w:tc>
          <w:tcPr>
            <w:tcW w:w="9363" w:type="dxa"/>
            <w:gridSpan w:val="3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1.Строительство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1. Индивидуальное жилищное строительство,  строительство индивидуальных  и</w:t>
            </w:r>
          </w:p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 и кооперативных гаражей, подсобных сооружений: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1.1.На срок проведения проектно-изыскательских работ,  строительства (реконструкции), предусмотренный разрешением на строительство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1.2.По истечении указанного срока проведения проектно-</w:t>
            </w:r>
          </w:p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изыскательских работ, строительства (реконструкции) вне зависимости от продления в установленном порядке сроков</w:t>
            </w:r>
          </w:p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строительства (реконструкции). При отсутствии разрешения на</w:t>
            </w:r>
          </w:p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строительство по истечении 1 года после заключения договора аренды.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779AE" w:rsidRPr="005779AE" w:rsidTr="0005149B">
        <w:trPr>
          <w:trHeight w:val="315"/>
        </w:trPr>
        <w:tc>
          <w:tcPr>
            <w:tcW w:w="9363" w:type="dxa"/>
            <w:gridSpan w:val="3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2. Предпринимательство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2.1.Прочая непроизводственная</w:t>
            </w:r>
          </w:p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2.1.1 использование  земельных  участков  для  осуществления  непроизводственной деятельности.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 xml:space="preserve">2.1.2 </w:t>
            </w:r>
            <w:r w:rsidRPr="005779AE">
              <w:rPr>
                <w:sz w:val="22"/>
                <w:szCs w:val="22"/>
              </w:rPr>
              <w:t>для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2.1.3</w:t>
            </w:r>
            <w:r w:rsidRPr="005779AE">
              <w:t xml:space="preserve"> для</w:t>
            </w:r>
            <w:r w:rsidRPr="005779AE">
              <w:rPr>
                <w:sz w:val="20"/>
                <w:szCs w:val="20"/>
              </w:rPr>
              <w:t xml:space="preserve"> бизнес-центров, офисных центров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5779AE" w:rsidRPr="005779AE" w:rsidTr="0005149B">
        <w:trPr>
          <w:trHeight w:val="315"/>
        </w:trPr>
        <w:tc>
          <w:tcPr>
            <w:tcW w:w="9363" w:type="dxa"/>
            <w:gridSpan w:val="3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3.1. Автомобильный транспорт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стоянок, а также для размещения депо (устройства мест стоянок) автомобильного транспорта, осуществляющего перевозки людей по установленному маршруту. Кроме участков, занятых внутрихозяйственными дорогами, использующимися дляосуществления сельскохозяйственной деятельности.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3.2. Прочие объекты транспорта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 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779AE" w:rsidRPr="005779AE" w:rsidTr="0005149B">
        <w:trPr>
          <w:trHeight w:val="315"/>
        </w:trPr>
        <w:tc>
          <w:tcPr>
            <w:tcW w:w="2736" w:type="dxa"/>
          </w:tcPr>
          <w:p w:rsidR="005779AE" w:rsidRPr="005779AE" w:rsidRDefault="005779AE" w:rsidP="005779AE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779AE">
              <w:rPr>
                <w:b/>
                <w:sz w:val="20"/>
                <w:szCs w:val="20"/>
              </w:rPr>
              <w:t>3.3. Прочие объекты транспорта</w:t>
            </w:r>
          </w:p>
        </w:tc>
        <w:tc>
          <w:tcPr>
            <w:tcW w:w="5262" w:type="dxa"/>
          </w:tcPr>
          <w:p w:rsidR="005779AE" w:rsidRPr="005779AE" w:rsidRDefault="005779AE" w:rsidP="005779A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779AE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5779AE" w:rsidRPr="005779AE" w:rsidRDefault="005779AE" w:rsidP="005779AE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779AE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5779AE" w:rsidRPr="005779AE" w:rsidRDefault="005779AE" w:rsidP="005779AE">
      <w:pPr>
        <w:autoSpaceDE w:val="0"/>
        <w:jc w:val="center"/>
      </w:pPr>
    </w:p>
    <w:p w:rsidR="005779AE" w:rsidRPr="005779AE" w:rsidRDefault="005779AE" w:rsidP="005779AE">
      <w:pPr>
        <w:autoSpaceDE w:val="0"/>
        <w:jc w:val="center"/>
      </w:pPr>
      <w:r w:rsidRPr="005779AE">
        <w:rPr>
          <w:b/>
        </w:rPr>
        <w:t>Коэффициент учета водоохранной зоны и прибрежной защитной полосы (К</w:t>
      </w:r>
      <w:r w:rsidRPr="005779AE">
        <w:rPr>
          <w:b/>
          <w:vertAlign w:val="subscript"/>
        </w:rPr>
        <w:t>у</w:t>
      </w:r>
      <w:r w:rsidRPr="005779AE">
        <w:rPr>
          <w:b/>
        </w:rPr>
        <w:t>)</w:t>
      </w:r>
    </w:p>
    <w:p w:rsidR="005779AE" w:rsidRPr="005779AE" w:rsidRDefault="005779AE" w:rsidP="005779AE">
      <w:pPr>
        <w:autoSpaceDE w:val="0"/>
        <w:ind w:right="192" w:firstLine="485"/>
        <w:jc w:val="right"/>
        <w:rPr>
          <w:b/>
          <w:bCs/>
        </w:rPr>
      </w:pPr>
      <w:r w:rsidRPr="005779AE"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/>
      </w:tblPr>
      <w:tblGrid>
        <w:gridCol w:w="426"/>
        <w:gridCol w:w="8070"/>
        <w:gridCol w:w="1094"/>
      </w:tblGrid>
      <w:tr w:rsidR="005779AE" w:rsidRPr="005779AE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r w:rsidRPr="005779AE"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Ку</w:t>
            </w:r>
          </w:p>
        </w:tc>
      </w:tr>
      <w:tr w:rsidR="005779AE" w:rsidRPr="005779AE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r w:rsidRPr="005779AE"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2</w:t>
            </w:r>
          </w:p>
        </w:tc>
      </w:tr>
      <w:tr w:rsidR="005779AE" w:rsidRPr="005779AE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r w:rsidRPr="005779AE"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3</w:t>
            </w:r>
          </w:p>
        </w:tc>
      </w:tr>
      <w:tr w:rsidR="005779AE" w:rsidRPr="005779AE" w:rsidTr="0005149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AE" w:rsidRPr="005779AE" w:rsidRDefault="005779AE" w:rsidP="005779AE">
            <w:r w:rsidRPr="005779AE"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E" w:rsidRPr="005779AE" w:rsidRDefault="005779AE" w:rsidP="005779AE">
            <w:pPr>
              <w:autoSpaceDE w:val="0"/>
              <w:jc w:val="center"/>
            </w:pPr>
            <w:r w:rsidRPr="005779AE">
              <w:t>3</w:t>
            </w:r>
          </w:p>
        </w:tc>
      </w:tr>
    </w:tbl>
    <w:p w:rsidR="00DB29C8" w:rsidRDefault="00DB29C8" w:rsidP="005779A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DB29C8" w:rsidSect="005779AE">
      <w:headerReference w:type="default" r:id="rId9"/>
      <w:headerReference w:type="first" r:id="rId10"/>
      <w:pgSz w:w="11906" w:h="16838"/>
      <w:pgMar w:top="567" w:right="851" w:bottom="79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EC" w:rsidRDefault="00863EEC">
      <w:r>
        <w:separator/>
      </w:r>
    </w:p>
  </w:endnote>
  <w:endnote w:type="continuationSeparator" w:id="1">
    <w:p w:rsidR="00863EEC" w:rsidRDefault="0086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EC" w:rsidRDefault="00863EEC">
      <w:r>
        <w:separator/>
      </w:r>
    </w:p>
  </w:footnote>
  <w:footnote w:type="continuationSeparator" w:id="1">
    <w:p w:rsidR="00863EEC" w:rsidRDefault="00863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C8" w:rsidRDefault="00DB29C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C8" w:rsidRDefault="00DB29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27"/>
    <w:rsid w:val="000445C2"/>
    <w:rsid w:val="000451DB"/>
    <w:rsid w:val="00063AAF"/>
    <w:rsid w:val="000720A1"/>
    <w:rsid w:val="000943E1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25E77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B548E"/>
    <w:rsid w:val="004C4C93"/>
    <w:rsid w:val="004D0B65"/>
    <w:rsid w:val="004D22B1"/>
    <w:rsid w:val="004E3DE1"/>
    <w:rsid w:val="004E7952"/>
    <w:rsid w:val="004F2649"/>
    <w:rsid w:val="00537604"/>
    <w:rsid w:val="00545BD5"/>
    <w:rsid w:val="005503C5"/>
    <w:rsid w:val="00566D2F"/>
    <w:rsid w:val="005779AE"/>
    <w:rsid w:val="0059134F"/>
    <w:rsid w:val="005A3BE9"/>
    <w:rsid w:val="005B030A"/>
    <w:rsid w:val="005B795E"/>
    <w:rsid w:val="005C68B4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47BD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6E1906"/>
    <w:rsid w:val="00731085"/>
    <w:rsid w:val="0073451D"/>
    <w:rsid w:val="0074526D"/>
    <w:rsid w:val="00773A63"/>
    <w:rsid w:val="007C45BE"/>
    <w:rsid w:val="007C4EFB"/>
    <w:rsid w:val="007E0A12"/>
    <w:rsid w:val="007E1DF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3EEC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E7C73"/>
    <w:rsid w:val="008F1C90"/>
    <w:rsid w:val="009008C5"/>
    <w:rsid w:val="00901284"/>
    <w:rsid w:val="009012EA"/>
    <w:rsid w:val="009033BE"/>
    <w:rsid w:val="00915F96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C0DAF"/>
    <w:rsid w:val="00AD5D54"/>
    <w:rsid w:val="00B11ECC"/>
    <w:rsid w:val="00B25AC7"/>
    <w:rsid w:val="00B31B47"/>
    <w:rsid w:val="00B80AF0"/>
    <w:rsid w:val="00B94FFD"/>
    <w:rsid w:val="00B9525E"/>
    <w:rsid w:val="00BB1A29"/>
    <w:rsid w:val="00BC66B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05094"/>
    <w:rsid w:val="00E37D9F"/>
    <w:rsid w:val="00E4797A"/>
    <w:rsid w:val="00E669A4"/>
    <w:rsid w:val="00E76FE7"/>
    <w:rsid w:val="00E80BD6"/>
    <w:rsid w:val="00E84849"/>
    <w:rsid w:val="00E95013"/>
    <w:rsid w:val="00EA05C1"/>
    <w:rsid w:val="00EA4CC3"/>
    <w:rsid w:val="00EB376C"/>
    <w:rsid w:val="00EB5C3D"/>
    <w:rsid w:val="00ED3560"/>
    <w:rsid w:val="00EF3EA5"/>
    <w:rsid w:val="00F049BE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B1964"/>
    <w:rsid w:val="00FC1DCD"/>
    <w:rsid w:val="00FC44E4"/>
    <w:rsid w:val="00FC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210CBC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210CBC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CD39D3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210CBC"/>
    <w:rPr>
      <w:rFonts w:cs="Mangal"/>
    </w:rPr>
  </w:style>
  <w:style w:type="paragraph" w:styleId="a8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CD39D3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39D3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39D3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0">
    <w:name w:val="Заголовок таблицы"/>
    <w:basedOn w:val="af"/>
    <w:uiPriority w:val="99"/>
    <w:rsid w:val="00210CBC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6688</Characters>
  <Application>Microsoft Office Word</Application>
  <DocSecurity>0</DocSecurity>
  <Lines>55</Lines>
  <Paragraphs>15</Paragraphs>
  <ScaleCrop>false</ScaleCrop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Editor</cp:lastModifiedBy>
  <cp:revision>2</cp:revision>
  <cp:lastPrinted>2024-03-14T05:44:00Z</cp:lastPrinted>
  <dcterms:created xsi:type="dcterms:W3CDTF">2024-03-27T05:57:00Z</dcterms:created>
  <dcterms:modified xsi:type="dcterms:W3CDTF">2024-03-27T05:57:00Z</dcterms:modified>
</cp:coreProperties>
</file>