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0" w:right="0"/>
        <w:jc w:val="right"/>
        <w:rPr>
          <w:rFonts w:ascii="CentSchbkCyrill BT" w:hAnsi="CentSchbkCyrill BT"/>
          <w:sz w:val="24"/>
        </w:rPr>
      </w:pPr>
      <w:r>
        <w:rPr>
          <w:rFonts w:ascii="CentSchbkCyrill BT" w:hAnsi="CentSchbkCyrill BT"/>
          <w:sz w:val="24"/>
        </w:rPr>
        <w:t xml:space="preserve">                                                </w:t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Адресная программа</w:t>
      </w:r>
    </w:p>
    <w:p>
      <w:pPr>
        <w:pStyle w:val="style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действующих и перспективных мест размещения рекламных конструкций на территории МО Сланцевский муниципальный район Ленинградской области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style0"/>
        <w:ind w:firstLine="708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Сланцы</w:t>
      </w:r>
    </w:p>
    <w:p>
      <w:pPr>
        <w:pStyle w:val="style0"/>
        <w:ind w:firstLine="708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2015 год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Адресная программа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 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Адресная программа размещения рекламных конструкций соответствует документам территориального планирования и призвана обеспечивать соблюдение внешнего архитектурного облика сложившейся застройки, градостроительных норм и правил, требований безопасности. 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Рекламная конструкция должна иметь маркировку с указанием рекламораспространителя и номером его телефона. Маркировка должна быть размещена под информационным полем, и иметь удобно читаемый размер.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установке допускаются рекламные конструкции со следующими техническими характеристиками: 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-4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89"/>
        <w:gridCol w:w="7133"/>
      </w:tblGrid>
      <w:tr>
        <w:trPr>
          <w:trHeight w:hRule="atLeast" w:val="720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конструкции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характеристика конструкции</w:t>
            </w:r>
          </w:p>
        </w:tc>
      </w:tr>
      <w:tr>
        <w:trPr>
          <w:trHeight w:hRule="atLeast" w:val="2022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Биллборд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 х 6,0 м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Биллборд </w:t>
            </w:r>
            <w:r>
              <w:rPr>
                <w:rFonts w:ascii="Times New Roman" w:hAnsi="Times New Roman"/>
                <w:sz w:val="24"/>
                <w:szCs w:val="24"/>
              </w:rPr>
              <w:t>- отдельно стоящая рекламная конструкция, имеющая одну, две или четыре рекламные поверхности.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рекламных полей 3,0 х 6,0 м.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наземный фундамент или бетонный блок с углублением в землю с помощью анкерных болтов.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наружная с использованием галогенных прожекторов.             </w:t>
            </w:r>
          </w:p>
        </w:tc>
      </w:tr>
      <w:tr>
        <w:trPr>
          <w:trHeight w:hRule="atLeast" w:val="1363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Сити-Формат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 х 1,2 м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Сити-Формат </w:t>
            </w:r>
            <w:r>
              <w:rPr>
                <w:rFonts w:ascii="Times New Roman" w:hAnsi="Times New Roman"/>
                <w:sz w:val="24"/>
                <w:szCs w:val="24"/>
              </w:rPr>
              <w:t>- отдельно стоящая небольшая рекламная конструкция, имеющая две рекламные поверхности.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рекламных полей 1,8 х 1,2 м.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наземный фундамент или бетонный блок с углублением в землю с помощью анкерных болтов.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внутренняя             </w:t>
            </w:r>
          </w:p>
        </w:tc>
      </w:tr>
      <w:tr>
        <w:trPr>
          <w:trHeight w:hRule="atLeast" w:val="1251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Щит малый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 х 3,0 м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 х 3,84 м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Щит малый </w:t>
            </w:r>
            <w:r>
              <w:rPr>
                <w:rFonts w:ascii="Times New Roman" w:hAnsi="Times New Roman"/>
                <w:sz w:val="24"/>
                <w:szCs w:val="24"/>
              </w:rPr>
              <w:t>- отдельно стоящая рекламная конструкция, имеющая одну, две или четыре рекламные поверхности.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рекламных полей 2,0 х 3,0 м.; 3,07 х 3,84 м.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наземный фундамент или бетонный блок с углублением в землю с помощью анкерных болтов.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наружная с использованием галогенных прожекторов.             </w:t>
            </w:r>
          </w:p>
        </w:tc>
      </w:tr>
      <w:tr>
        <w:trPr>
          <w:trHeight w:hRule="atLeast" w:val="1391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Пиллар 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 х 3,0 м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Пиллар </w:t>
            </w:r>
            <w:r>
              <w:rPr>
                <w:rFonts w:ascii="Times New Roman" w:hAnsi="Times New Roman"/>
                <w:sz w:val="24"/>
                <w:szCs w:val="24"/>
              </w:rPr>
              <w:t>- отдельно стоящая рекламная конструкция, имеющая три рекламные поверхности.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рекламных полей 1,4 х 3,0 м.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наземный декорированный фундамент.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внутренняя             </w:t>
            </w:r>
          </w:p>
        </w:tc>
      </w:tr>
      <w:tr>
        <w:trPr>
          <w:trHeight w:hRule="atLeast" w:val="1920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Светодиодный экран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Светодиодный экран </w:t>
            </w:r>
            <w:r>
              <w:rPr>
                <w:rFonts w:ascii="Times New Roman" w:hAnsi="Times New Roman"/>
                <w:sz w:val="24"/>
                <w:szCs w:val="24"/>
              </w:rPr>
              <w:t>- отдельно стоящая рекламная конструкция, имеющая  одну рекламную поверхность с динамичным изображением.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Размеры рекламных полей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заглубленный фундамент.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внутренняя        </w:t>
            </w:r>
          </w:p>
        </w:tc>
      </w:tr>
      <w:tr>
        <w:trPr>
          <w:trHeight w:hRule="atLeast" w:val="1543"/>
          <w:cantSplit w:val="false"/>
        </w:trPr>
        <w:tc>
          <w:tcPr>
            <w:tcW w:type="dxa" w:w="27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Кронштейн – панель</w:t>
            </w:r>
          </w:p>
          <w:p>
            <w:pPr>
              <w:pStyle w:val="style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 х 0,8 м</w:t>
            </w:r>
          </w:p>
        </w:tc>
        <w:tc>
          <w:tcPr>
            <w:tcW w:type="dxa" w:w="7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Кронштейн-панель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рекламная конструкция с креплением на опоры линии электропередач </w:t>
            </w:r>
          </w:p>
          <w:p>
            <w:pPr>
              <w:pStyle w:val="style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Способ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опоры электропередач креплением металлическими хомутами.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Подсветка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 отсутствует           </w:t>
            </w:r>
          </w:p>
        </w:tc>
      </w:tr>
    </w:tbl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необходимости, в адресную программу размещения рекламных конструкций, не чаще одного раза в полугодие, могут быть внесены изменения. Адресная программа и схемы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размещения рекламных конструкций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МО «Сланцевский муниципальный район» в информационно-телекоммуникационной сети «Интернет».</w:t>
      </w: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АДРЕСНАЯ ПРОГРАММА РАЗМЕЩЕНИЯ РЕКЛАМНЫХ КОНСТРУКЦИЙ</w:t>
      </w:r>
    </w:p>
    <w:p>
      <w:pPr>
        <w:pStyle w:val="style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-4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4854"/>
        <w:gridCol w:w="1840"/>
        <w:gridCol w:w="1419"/>
        <w:gridCol w:w="1136"/>
      </w:tblGrid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Ориентировочный адрес  размещения рекламной конструкции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РК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информац.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РК на карте</w:t>
            </w:r>
          </w:p>
        </w:tc>
      </w:tr>
      <w:tr>
        <w:trPr>
          <w:cantSplit w:val="false"/>
        </w:trPr>
        <w:tc>
          <w:tcPr>
            <w:tcW w:type="dxa" w:w="9923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Сланцевское городское поселение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район Кировского моста, справа от проезжей части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район Кировского моста, слева от проезжей части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нечетная сторона, напротив дома №34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Пр.Молодежный, нечетная сторона, у дома №17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Пр.Молодежный, четная сторона, территория СТО, напротив дома №5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территория между проезжей частью и домом №1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территория между проезжей частью и домом №5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территория между проезжей частью и домом №11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территория между р.Кушелка и ул.Полевая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территория автостоянки ЖД вокзала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Ул.Привокзальная, территория у дома №1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южнее ЖД переезда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Сланцевское шоссе, территория за АЗС «Лукойл» 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tabs>
                <w:tab w:leader="none" w:pos="1276" w:val="left"/>
              </w:tabs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территория дома № 22,  центральная часть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Ул.Кирова, территория дома №22, южная часть дома 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тротуар у дома №24, напротив входа в маг. «Меркурий»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тротуар у дома №24, напротив входа в маг. «Улыбка Радуги»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территория у дома №14, возле тротуара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тротуар у дома №42, напротив входа в аптеку «Фармакор»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№22, газон между тротуарами, справа от центра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№22, газон между тротуарами, слева от центра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№24, газон за тротуаром,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№26, газон между тротуарами, справа от центра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№26, газон между тротуарами, слева от центра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территория между домами №25корп.1 и №27, у тротуара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улиц Кирова и Ленина, у дома №11 по ул.Ленина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Пиллар 1,4х3,0м.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улиц Кирова и Ленина, у дома №14 по ул.Ленина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Пиллар 1,4х3,0м.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улиц Кирова и Гагарина, у дома №50 по ул.Кирова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Пиллар 1,4х3,0м.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№13,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2,0х3,0м.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№16,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2,0х3,0м.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№17,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2,0х3,0м.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№20,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2,0х3,0м.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разделительная полоса проезжей части, напротив дома №50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Светодиодный экран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</w:tr>
    </w:tbl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widowControl/>
        <w:suppressAutoHyphens w:val="false"/>
        <w:overflowPunct w:val="false"/>
        <w:spacing w:after="200" w:before="0" w:line="276" w:lineRule="auto"/>
        <w:contextualSpacing w:val="fals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pageBreakBefore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ДОПОЛНЕНИЯ В АДРЕСНУЮ ПРОГРАММУ РАЗМЕЩЕНИЯ РЕКЛАМНЫХ КОНСТРУКЦИЙ</w:t>
      </w:r>
    </w:p>
    <w:p>
      <w:pPr>
        <w:pStyle w:val="style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(от 26.08.2015г)</w:t>
      </w:r>
    </w:p>
    <w:p>
      <w:pPr>
        <w:pStyle w:val="style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jc w:val="left"/>
        <w:tblInd w:type="dxa" w:w="-4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4854"/>
        <w:gridCol w:w="1840"/>
        <w:gridCol w:w="1419"/>
        <w:gridCol w:w="1136"/>
      </w:tblGrid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Пр.Молодежный, северный въезд к торговому центру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Пр.Молодежный, южный въезд к торговому центру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ул.Привокзальная и Пр.Молодежный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территория дома №22, северная часть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территория у дома №14, тротуар у южной части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Сити-формат 1,2х1,8м.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Пересечение улиц Кирова и Грибоедова, у дома №16 по ул.Кирова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2,0х3,0м.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№16,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1ст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№17,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Биллборд 1ст 3,0х6,0м.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№20, газон между тротуарами, по центру дома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малый 3,07х3,84м.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</w:tr>
    </w:tbl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widowControl/>
        <w:suppressAutoHyphens w:val="false"/>
        <w:overflowPunct w:val="false"/>
        <w:spacing w:after="200" w:before="0" w:line="276" w:lineRule="auto"/>
        <w:contextualSpacing w:val="fals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style0"/>
        <w:pageBreakBefore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ДОПОЛНЕНИЯ В АДРЕСНУЮ ПРОГРАММУ РАЗМЕЩЕНИЯ РЕКЛАМНЫХ КОНСТРУКЦИЙ</w:t>
      </w:r>
    </w:p>
    <w:p>
      <w:pPr>
        <w:pStyle w:val="style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(Кронштейн-панели, установленные на опорах уличного освящения)</w:t>
      </w:r>
    </w:p>
    <w:p>
      <w:pPr>
        <w:pStyle w:val="style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jc w:val="left"/>
        <w:tblInd w:type="dxa" w:w="-459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4854"/>
        <w:gridCol w:w="1840"/>
        <w:gridCol w:w="1419"/>
        <w:gridCol w:w="1136"/>
      </w:tblGrid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у дома №17, опора освещения №9/67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район Кировского моста, опора освещения Б/Н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улиц Ленина и Спортивная, опора освещения № 6/75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№3, опора освещения № 15/79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улиц Кирова и Ленина, опора освещения № 19/67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№11, опора освещения 21/85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№21, опора освещения 13/85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у дома №27, опора освещения №11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напротив д.34, опора освещения №10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Ул.Спортивная, у дома №7, опора освещения № 8/73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Ул.Спортивная, у дома №9, опора освещения № 9/73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Ул.Кирова, у дома №43, опора освещения № 25/67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у дома №2, опора освещения Б/Н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у поворота на объездную дорогу, опора освещения Б/Н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 поворот на ул.Гавриловская, опора освещения Б/Н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№30/72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№34/72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8.17.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Б/Н, поворот на пр.Молодежный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8.18.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№38/72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8.19.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№6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8.21.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Сланцевское шоссе, опора освещения №9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8.22.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Сланцевского шоссе, опора освещения № 12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8.23.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Сланцевского шоссе, опора освещения №23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8.24.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Ул.Ломоносова, опора освещения №3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Кингисеппское шоссе, опора освещения №76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8.26.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Кингисеппское шоссе, опора освещения Б/Н, у поворота на цем.завод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8.27.</w:t>
            </w:r>
          </w:p>
        </w:tc>
      </w:tr>
      <w:tr>
        <w:trPr>
          <w:cantSplit w:val="false"/>
        </w:trPr>
        <w:tc>
          <w:tcPr>
            <w:tcW w:type="dxa" w:w="6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type="dxa" w:w="4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Ул.Свердлова, у дома №10, опора освещения №3</w:t>
            </w:r>
          </w:p>
        </w:tc>
        <w:tc>
          <w:tcPr>
            <w:tcW w:type="dxa" w:w="18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1,2х0,8м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 кв.м.</w:t>
            </w:r>
          </w:p>
        </w:tc>
        <w:tc>
          <w:tcPr>
            <w:tcW w:type="dxa" w:w="11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8.28.</w:t>
            </w:r>
          </w:p>
        </w:tc>
      </w:tr>
    </w:tbl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r:id="rId2" w:type="default"/>
      <w:type w:val="nextPage"/>
      <w:pgSz w:h="16838" w:w="11906"/>
      <w:pgMar w:bottom="426" w:footer="0" w:gutter="0" w:header="567" w:left="1701" w:right="850" w:top="1126"/>
      <w:pgNumType w:fmt="decimal" w:start="3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entSchbkCyrill BT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instrText> PAGE \*Arabic </w:instrText>
    </w:r>
    <w:r>
      <w:fldChar w:fldCharType="separate"/>
    </w:r>
    <w:r>
      <w:t>9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true"/>
      <w:spacing w:after="0" w:before="0" w:line="100" w:lineRule="atLeast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widowControl/>
      <w:suppressAutoHyphens w:val="false"/>
      <w:overflowPunct w:val="false"/>
      <w:spacing w:after="200" w:before="0" w:line="276" w:lineRule="auto"/>
      <w:ind w:hanging="0" w:left="720" w:right="0"/>
      <w:contextualSpacing/>
    </w:pPr>
    <w:rPr>
      <w:rFonts w:ascii="Calibri" w:cs="Calibri" w:hAnsi="Calibri"/>
      <w:lang w:eastAsia="en-US"/>
    </w:rPr>
  </w:style>
  <w:style w:styleId="style22" w:type="paragraph">
    <w:name w:val="Верхний колонтитул"/>
    <w:basedOn w:val="style0"/>
    <w:next w:val="style2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2015-09-07T08:20:00Z</dcterms:created>
  <dc:creator>пользователь</dc:creator>
  <cp:lastModifiedBy>MART-Group</cp:lastModifiedBy>
  <cp:lastPrinted>2016-02-08T12:05:05Z</cp:lastPrinted>
  <dcterms:modified xsi:type="dcterms:W3CDTF">2015-09-23T07:14:00Z</dcterms:modified>
  <cp:revision>7</cp:revision>
</cp:coreProperties>
</file>