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2D" w:rsidRDefault="00A35916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60" w:type="dxa"/>
        <w:tblInd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3261"/>
        <w:gridCol w:w="2128"/>
        <w:gridCol w:w="1560"/>
      </w:tblGrid>
      <w:tr w:rsidR="006A322D">
        <w:trPr>
          <w:trHeight w:val="273"/>
        </w:trPr>
        <w:tc>
          <w:tcPr>
            <w:tcW w:w="965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Минфина РФ</w:t>
            </w:r>
          </w:p>
          <w:p w:rsidR="006A322D" w:rsidRDefault="00A3591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 декабря 2010 г. № 191н</w:t>
            </w:r>
          </w:p>
          <w:p w:rsidR="006A322D" w:rsidRDefault="00A3591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ред. от 2 ноября 2017 г.)</w:t>
            </w:r>
          </w:p>
        </w:tc>
      </w:tr>
      <w:tr w:rsidR="006A322D">
        <w:trPr>
          <w:trHeight w:val="273"/>
        </w:trPr>
        <w:tc>
          <w:tcPr>
            <w:tcW w:w="965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                                         </w:t>
            </w:r>
          </w:p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6A322D">
        <w:trPr>
          <w:trHeight w:val="337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                 к отчету об исполнении консолидированного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A322D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по ОКУД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0503360</w:t>
            </w:r>
          </w:p>
        </w:tc>
      </w:tr>
      <w:tr w:rsidR="006A322D">
        <w:trPr>
          <w:trHeight w:val="273"/>
        </w:trPr>
        <w:tc>
          <w:tcPr>
            <w:tcW w:w="596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января 2025 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6A322D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Комитет финансов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6A322D">
            <w:pPr>
              <w:rPr>
                <w:sz w:val="24"/>
              </w:rPr>
            </w:pPr>
          </w:p>
        </w:tc>
      </w:tr>
      <w:tr w:rsidR="006A322D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</w:tr>
      <w:tr w:rsidR="006A322D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Бюджет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по ОКТМО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41642000</w:t>
            </w:r>
          </w:p>
        </w:tc>
      </w:tr>
      <w:tr w:rsidR="006A322D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322D">
        <w:trPr>
          <w:trHeight w:val="356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ОКЕИ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6A322D" w:rsidRDefault="00A3591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322D" w:rsidRDefault="00A3591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322D" w:rsidRDefault="00A35916">
      <w:pPr>
        <w:ind w:firstLine="700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Пояснительная записка</w:t>
      </w:r>
    </w:p>
    <w:p w:rsidR="006A322D" w:rsidRDefault="00A35916">
      <w:pPr>
        <w:ind w:firstLine="700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к годовому отчету об исполнении консолидированного бюджета</w:t>
      </w:r>
    </w:p>
    <w:p w:rsidR="006A322D" w:rsidRDefault="00A35916">
      <w:pPr>
        <w:ind w:firstLine="700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муниципального района</w:t>
      </w:r>
    </w:p>
    <w:p w:rsidR="006A322D" w:rsidRDefault="00A35916">
      <w:pPr>
        <w:ind w:firstLine="700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 за 2024 год</w:t>
      </w:r>
    </w:p>
    <w:p w:rsidR="006A322D" w:rsidRDefault="00A35916">
      <w:pPr>
        <w:ind w:firstLine="700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ind w:firstLine="700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Раздел 1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«Организационная структура субъекта бюджетной отчетности»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Бюджетная отчетность по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Сланцевскому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муниципальному району по состоянию на 01.01.2025 составлена в соответствии с требованиями Инструкции о порядке составления и предоставления годовой, квартальной и месячной отчетности об исполнении бюджетов бюджетной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системы Российской Федерации, </w:t>
      </w: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утвержденной приказом Министерства финансов Российской Федерации от 23.12.2010 №191н, (с изменениями и дополнениями).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Комитет финансов администрации муниципального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муниципальный район Ленинградской обла</w:t>
      </w:r>
      <w:r>
        <w:rPr>
          <w:rFonts w:ascii="Calibri" w:eastAsia="Calibri" w:hAnsi="Calibri" w:cs="Calibri"/>
          <w:color w:val="000000"/>
          <w:sz w:val="28"/>
          <w:szCs w:val="28"/>
        </w:rPr>
        <w:t>сти (далее – комитет финансов) является правопреемником комитета финансов администрации муниципального образования «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район», образованного на основании пункта 10 статьи 25 «Устава муниципального образования «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район» и Положения о коми</w:t>
      </w:r>
      <w:r>
        <w:rPr>
          <w:rFonts w:ascii="Calibri" w:eastAsia="Calibri" w:hAnsi="Calibri" w:cs="Calibri"/>
          <w:color w:val="000000"/>
          <w:sz w:val="28"/>
          <w:szCs w:val="28"/>
        </w:rPr>
        <w:t>тете финансов, по Постановлению Главы муниципального образования от 15.02.2005 № 79-п и переименованного на основании Постановления Главы муниципального образования от 14.12.2005 № 918-п.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  Решением Совета депутатов муниципального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муниципальный район Ленинградской области от 24.11.2010 за № 173-рсд комитет финансов признан муниципальным казенным учреждением. Изменения внесены в Единый государственный реестр юридических лиц свидетельством серии 47 № 003032544 от 14.12.2010.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Положение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о комитете финансов утверждено решением совета депутатов муниципального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муниципальный район Ленинградской области от 19.04.2023 № 395-рсд.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Вид деятельности: деятельность органов местного самоуправления по управлению вопросами общег</w:t>
      </w:r>
      <w:r>
        <w:rPr>
          <w:rFonts w:ascii="Calibri" w:eastAsia="Calibri" w:hAnsi="Calibri" w:cs="Calibri"/>
          <w:color w:val="000000"/>
          <w:sz w:val="28"/>
          <w:szCs w:val="28"/>
        </w:rPr>
        <w:t>о характера.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Свидетельством о государственной регистрации юридического лица инспекции Федеральной налоговой службы по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Сланцевскому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району Ленинградской области серии 47 № 001669590 комитету финансов присвоен основной государственный регистрационный номер –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1054700450353.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Свидетельством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Российской Федерации серии 47 № 001669644 инспекцией Министерства Российской Федерации по налогам и сборам по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Сланцевскому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району ком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итету финансов присвоен индивидуальный идентификационный номер  4713007831, код постановки на учет  470701001. Свидетельством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Российской Федерации серии 47 № 003242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318 Межрайонной  инспекцией Федеральной налоговой службы №3 по Ленинградской области комитету финансов изменен код постановки на учет  на 470701001. 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Юридический адрес и место нахождения комитета финансов: 188560, Ленинградская область, г. Сланцы, пер. Поч</w:t>
      </w:r>
      <w:r>
        <w:rPr>
          <w:rFonts w:ascii="Calibri" w:eastAsia="Calibri" w:hAnsi="Calibri" w:cs="Calibri"/>
          <w:color w:val="000000"/>
          <w:sz w:val="28"/>
          <w:szCs w:val="28"/>
        </w:rPr>
        <w:t>товый, д.3.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В отчетном периоде возглавляет комитет финансов заместитель главы администрации - председатель Павлова Юлия Васильевна, главный бухгалтер Евдокимова Екатерина Викторовна.</w:t>
      </w:r>
    </w:p>
    <w:p w:rsidR="006A322D" w:rsidRDefault="00A35916">
      <w:pPr>
        <w:ind w:firstLine="700"/>
        <w:jc w:val="both"/>
        <w:rPr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Комитет финансов является структурным подразделением администрации муници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пального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муниципальный район Ленинградской области, осуществляющим в соответствии с законодательством Российской Федерации, Ленинградской области и нормативно-правовыми актами муниципального образования функции по обеспечению исполн</w:t>
      </w:r>
      <w:r>
        <w:rPr>
          <w:rFonts w:ascii="Calibri" w:eastAsia="Calibri" w:hAnsi="Calibri" w:cs="Calibri"/>
          <w:color w:val="000000"/>
          <w:sz w:val="28"/>
          <w:szCs w:val="28"/>
        </w:rPr>
        <w:t>ения полномочий муниципального района и поселений по формированию, казначейскому исполнению и финансовому контролю за исполнением  бюджетов, предварительному и текущему контролю за ведением кассовых операций со средствами местных бюджетов, внутреннему муни</w:t>
      </w:r>
      <w:r>
        <w:rPr>
          <w:rFonts w:ascii="Calibri" w:eastAsia="Calibri" w:hAnsi="Calibri" w:cs="Calibri"/>
          <w:color w:val="000000"/>
          <w:sz w:val="28"/>
          <w:szCs w:val="28"/>
        </w:rPr>
        <w:t>ципальному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финансовому контролю, внутреннему финансовому контролю и внутреннему финансовому аудиту. 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Полномочия органов внешнего муниципального финансового контроля осуществляет Ревизионная комиссия муниципального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муниципальный райо</w:t>
      </w:r>
      <w:r>
        <w:rPr>
          <w:rFonts w:ascii="Calibri" w:eastAsia="Calibri" w:hAnsi="Calibri" w:cs="Calibri"/>
          <w:color w:val="000000"/>
          <w:sz w:val="28"/>
          <w:szCs w:val="28"/>
        </w:rPr>
        <w:t>н Ленинградской области.  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Основными задачами комитета финансов являются:</w:t>
      </w:r>
    </w:p>
    <w:p w:rsidR="006A322D" w:rsidRDefault="00A35916">
      <w:pPr>
        <w:numPr>
          <w:ilvl w:val="0"/>
          <w:numId w:val="1"/>
        </w:numPr>
        <w:ind w:left="0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Проведение на территории муниципального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муниципальный район Ленинградской области единой государственной бюджетно-финансовой политики.</w:t>
      </w:r>
    </w:p>
    <w:p w:rsidR="006A322D" w:rsidRDefault="00A35916">
      <w:pPr>
        <w:numPr>
          <w:ilvl w:val="0"/>
          <w:numId w:val="1"/>
        </w:numPr>
        <w:ind w:left="0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Составление проекта мес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тного бюджета, исполнение местного бюджета и составление бюджетной отчетности об исполнении местного бюджета и консолидированного бюджета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в соответствии с законами и правовыми актами Российской Федерации и Ленинградской о</w:t>
      </w:r>
      <w:r>
        <w:rPr>
          <w:rFonts w:ascii="Calibri" w:eastAsia="Calibri" w:hAnsi="Calibri" w:cs="Calibri"/>
          <w:color w:val="000000"/>
          <w:sz w:val="28"/>
          <w:szCs w:val="28"/>
        </w:rPr>
        <w:t>бласти, решениями совета депутатов, постановлениями администрации, приказами и распоряжениями комитета финансов.</w:t>
      </w:r>
    </w:p>
    <w:p w:rsidR="006A322D" w:rsidRDefault="00A35916">
      <w:pPr>
        <w:numPr>
          <w:ilvl w:val="0"/>
          <w:numId w:val="1"/>
        </w:numPr>
        <w:ind w:left="1060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Регулирование межбюджетных отношений.</w:t>
      </w:r>
    </w:p>
    <w:p w:rsidR="006A322D" w:rsidRDefault="00A35916">
      <w:pPr>
        <w:numPr>
          <w:ilvl w:val="0"/>
          <w:numId w:val="1"/>
        </w:numPr>
        <w:ind w:left="0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Разработка предложений по эффективному использованию бюджетных средств.</w:t>
      </w:r>
    </w:p>
    <w:p w:rsidR="006A322D" w:rsidRDefault="00A35916">
      <w:pPr>
        <w:numPr>
          <w:ilvl w:val="0"/>
          <w:numId w:val="1"/>
        </w:numPr>
        <w:ind w:left="0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Совершенствование методов финансо</w:t>
      </w:r>
      <w:r>
        <w:rPr>
          <w:rFonts w:ascii="Calibri" w:eastAsia="Calibri" w:hAnsi="Calibri" w:cs="Calibri"/>
          <w:color w:val="000000"/>
          <w:sz w:val="28"/>
          <w:szCs w:val="28"/>
        </w:rPr>
        <w:t>во-бюджетного планирования, финансирования и отчетности. Оказание методической помощи получателям бюджетных сре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дств в р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>аботе по формированию, исполнению местных бюджетов и составлению бюджетной отчетности.</w:t>
      </w:r>
    </w:p>
    <w:p w:rsidR="006A322D" w:rsidRDefault="00A35916">
      <w:pPr>
        <w:numPr>
          <w:ilvl w:val="0"/>
          <w:numId w:val="1"/>
        </w:numPr>
        <w:ind w:left="0"/>
        <w:jc w:val="both"/>
        <w:rPr>
          <w:rFonts w:ascii="Calibri" w:eastAsia="Calibri" w:hAnsi="Calibri" w:cs="Calibri"/>
          <w:color w:val="000000"/>
          <w:sz w:val="28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Осуществление контроля за соблюдением бюджетного з</w:t>
      </w:r>
      <w:r>
        <w:rPr>
          <w:rFonts w:ascii="Calibri" w:eastAsia="Calibri" w:hAnsi="Calibri" w:cs="Calibri"/>
          <w:color w:val="000000"/>
          <w:sz w:val="28"/>
          <w:szCs w:val="28"/>
        </w:rPr>
        <w:t>аконодательства Российской Федерации, организация и осуществление внутреннего финансового контроля ведения бухгалтерского учета и составления бухгалтерской финансовой отчетности и внутреннего финансового аудита в соответствии с порядком, установленным адми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нистрацией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района, а так же полнотой и </w:t>
      </w: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достоверностью отчетности об исполнении местного бюджета, рациональным, эффективным и целевым использованием бюджетных средств.</w:t>
      </w:r>
      <w:proofErr w:type="gramEnd"/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Приказом комитета финансов № 78-од от 31.12.2020 г. в учрежде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нии утверждено   Положение об Учетной политике комитета финансов администрации муниципального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муниципальный район Ленинградской области.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образовано 8 публично-правовых образований, в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том числе 1- муниципальный район, 1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городское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и 6 сельских поселений.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ind w:firstLine="700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Раздел 2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«Результаты деятельности субъекта бюджетной отчетности»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</w:p>
    <w:p w:rsidR="006A322D" w:rsidRDefault="00A35916">
      <w:pPr>
        <w:spacing w:after="2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Бюджетные средства в учреждении расходуются эффективно. Соблюдаются нормы расходования, экономно расходуется бумага</w:t>
      </w:r>
      <w:r>
        <w:rPr>
          <w:rFonts w:ascii="Calibri" w:eastAsia="Calibri" w:hAnsi="Calibri" w:cs="Calibri"/>
          <w:color w:val="000000"/>
          <w:sz w:val="28"/>
          <w:szCs w:val="28"/>
        </w:rPr>
        <w:t>, канцтовары, комплектующие и расходные материалы к оргтехнике.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В учреждении осуществляется внутренний, предварительный, текущий и последующий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контроль за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соблюдением договоров, контроль соответствия оплаченных нефинансовых активов полученным, контроль за </w:t>
      </w:r>
      <w:r>
        <w:rPr>
          <w:rFonts w:ascii="Calibri" w:eastAsia="Calibri" w:hAnsi="Calibri" w:cs="Calibri"/>
          <w:color w:val="000000"/>
          <w:sz w:val="28"/>
          <w:szCs w:val="28"/>
        </w:rPr>
        <w:t>сохранностью материальных запасов и основных средств, проводится сверка расчетов с дебиторами и кредиторами, проводится инвентаризация имущества и финансовых обязательств, осуществляется внутренний финансовый аудит с соблюдением федеральных стандартов.    </w:t>
      </w:r>
      <w:r>
        <w:rPr>
          <w:rFonts w:ascii="Calibri" w:eastAsia="Calibri" w:hAnsi="Calibri" w:cs="Calibri"/>
          <w:color w:val="000000"/>
          <w:sz w:val="28"/>
          <w:szCs w:val="28"/>
        </w:rPr>
        <w:t>    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За счет средств бюджета обеспечивается повышение квалификации специалистов. Расходы по функциональной классификации 0705 «Профессиональная подготовка, переподготовка и повышение квалификации» при запланированных объемах 737755,00 рублей составили 7360</w:t>
      </w:r>
      <w:r>
        <w:rPr>
          <w:rFonts w:ascii="Calibri" w:eastAsia="Calibri" w:hAnsi="Calibri" w:cs="Calibri"/>
          <w:color w:val="000000"/>
          <w:sz w:val="28"/>
          <w:szCs w:val="28"/>
        </w:rPr>
        <w:t>83,00 рублей или 99,8 % от плана. Повышение квалификации педагогических работников проводится согласно плану-графику проведения обучения. Кроме того, в муниципальных учреждениях соблюдается трудовое законодательство, в том числе в части предоставление учеб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ных отпусков с сохранением среднего заработка. 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ind w:firstLine="720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Раздел 3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lastRenderedPageBreak/>
        <w:t xml:space="preserve">«Анализ отчета об исполнении бюджета субъектом 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бюджетной отчетности»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Текстами решений о бюджетах муниципальных образований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предусмотрены и исполнены следующи</w:t>
      </w:r>
      <w:r>
        <w:rPr>
          <w:rFonts w:ascii="Calibri" w:eastAsia="Calibri" w:hAnsi="Calibri" w:cs="Calibri"/>
          <w:color w:val="000000"/>
          <w:sz w:val="28"/>
          <w:szCs w:val="28"/>
        </w:rPr>
        <w:t>е положения (не имеющие соответствующих приложений): применение правовых актов, влекущих дополнительные расходы или сокращение доходной базы, после внесения соответствующих изменений в решение о бюджете, введение индексации расчетной величины и должностных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окладов.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Сводные бюджетные росписи по расходам бюджетов всех муниципальных образований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на 2024 год утверждены по состоянию на 01.01.2025 по расходам в объеме 2708893863,13 рублей и увеличены по сравнению с </w:t>
      </w:r>
      <w:r>
        <w:rPr>
          <w:rFonts w:ascii="Calibri" w:eastAsia="Calibri" w:hAnsi="Calibri" w:cs="Calibri"/>
          <w:color w:val="000000"/>
          <w:sz w:val="28"/>
          <w:szCs w:val="28"/>
        </w:rPr>
        <w:t>первоначальными решениями о местных бюджетах на сумму 292377592,22 рублей. Все изменения внесены в соответствии с положениями статьи 217 Бюджетного кодекса РФ на основании решений советов депутатов о внесении изменений. Сводные бюджетные росписи бюджетов в</w:t>
      </w:r>
      <w:r>
        <w:rPr>
          <w:rFonts w:ascii="Calibri" w:eastAsia="Calibri" w:hAnsi="Calibri" w:cs="Calibri"/>
          <w:color w:val="000000"/>
          <w:sz w:val="28"/>
          <w:szCs w:val="28"/>
        </w:rPr>
        <w:t>сех муниципальных образований соответствуют решениям о бюджетах муниципальных образований на 2024 год с учетом внесенных в установленном порядке изменений и дополнений.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Исполнение доходной части консолидированного бюджета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за 2024 год при плановых годовых назначениях 2644914921,89  рублей составило 2663154453,24 рублей или 100,7 % от плана (нормативный показатель 95,0 %). По сравнению с аналогичным периодом 2023 года произошло увеличение поступлений на 577496570,85 рублей и</w:t>
      </w:r>
      <w:r>
        <w:rPr>
          <w:rFonts w:ascii="Calibri" w:eastAsia="Calibri" w:hAnsi="Calibri" w:cs="Calibri"/>
          <w:color w:val="000000"/>
          <w:sz w:val="28"/>
          <w:szCs w:val="28"/>
        </w:rPr>
        <w:t>ли на 27,7 %.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Безвозмездные поступления составили 60,3 % в структуре, налоговые и неналоговые доходы составили 39,7 % в структуре.</w:t>
      </w:r>
    </w:p>
    <w:p w:rsidR="006A322D" w:rsidRDefault="00A35916">
      <w:pPr>
        <w:ind w:firstLine="720"/>
        <w:jc w:val="both"/>
        <w:rPr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Безвозмездные поступления исполнены в объеме 1605256119,88  рублей, из них безвозмездные поступления из бюджета Ленинградской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области 1614853682,10 рублей, безвозмездные поступления от государственных (муниципальных) организаций 250000,00 рублей, безвозмездные поступление от юридических и физических лиц 13797,00 рублей, доходы от возврата иными организациями остатков субсидий пр</w:t>
      </w:r>
      <w:r>
        <w:rPr>
          <w:rFonts w:ascii="Calibri" w:eastAsia="Calibri" w:hAnsi="Calibri" w:cs="Calibri"/>
          <w:color w:val="000000"/>
          <w:sz w:val="28"/>
          <w:szCs w:val="28"/>
        </w:rPr>
        <w:t>ошлых лет 876802,16 рублей,  возвраты остатков целевых межбюджетных трансфертов и иных целевых средств прошлых лет -10738161,38 рублей.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Субвенции на исполнение переданных государственных полномочий поступили в объеме 936657459,36 рублей или 58,3 % всех без</w:t>
      </w:r>
      <w:r>
        <w:rPr>
          <w:rFonts w:ascii="Calibri" w:eastAsia="Calibri" w:hAnsi="Calibri" w:cs="Calibri"/>
          <w:color w:val="000000"/>
          <w:sz w:val="28"/>
          <w:szCs w:val="28"/>
        </w:rPr>
        <w:t>возмездных поступлений.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Налоговые и неналоговые доходы поступили в объеме 1057898333,36 рублей, из них 55,0 % или 582065330,44 рублей составил налог на доходы физических лиц (уровень исполнения к плану года 104,0 %). Доходы от использования муниципального </w:t>
      </w:r>
      <w:r>
        <w:rPr>
          <w:rFonts w:ascii="Calibri" w:eastAsia="Calibri" w:hAnsi="Calibri" w:cs="Calibri"/>
          <w:color w:val="000000"/>
          <w:sz w:val="28"/>
          <w:szCs w:val="28"/>
        </w:rPr>
        <w:t>имущества поступили в объеме 99943612,75 рублей или 9,4 % от налоговых, неналоговых доходов (уровень исполнения к плану года 100,6 %).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Налоги на совокупный доход поступили в объеме 225757974,53 рублей или 21,3 % от налоговых, неналоговых доходов (уровень и</w:t>
      </w:r>
      <w:r>
        <w:rPr>
          <w:rFonts w:ascii="Calibri" w:eastAsia="Calibri" w:hAnsi="Calibri" w:cs="Calibri"/>
          <w:color w:val="000000"/>
          <w:sz w:val="28"/>
          <w:szCs w:val="28"/>
        </w:rPr>
        <w:t>сполнения к плану года 100,7 %). Налоги на имущество поступили в объеме 41760916,74 рублей или 3,9 % от налоговых, неналоговых доходов (уровень исполнения к плану года 99,8 %).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Исполнение расходной части консолидированного бюджета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</w:t>
      </w:r>
      <w:r>
        <w:rPr>
          <w:rFonts w:ascii="Calibri" w:eastAsia="Calibri" w:hAnsi="Calibri" w:cs="Calibri"/>
          <w:color w:val="000000"/>
          <w:sz w:val="28"/>
          <w:szCs w:val="28"/>
        </w:rPr>
        <w:t>го района за 2024 год при годовых ассигнованиях 2708893863,13 рублей составило 2637802094,34 рублей или 97,4 % от годового плана (нормативный показатель 95,0 %).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Основную долю в расходной части бюджета занимает отрасль «Образование» (расходы 1427982291,76 </w:t>
      </w:r>
      <w:r>
        <w:rPr>
          <w:rFonts w:ascii="Calibri" w:eastAsia="Calibri" w:hAnsi="Calibri" w:cs="Calibri"/>
          <w:color w:val="000000"/>
          <w:sz w:val="28"/>
          <w:szCs w:val="28"/>
        </w:rPr>
        <w:t>рублей, или 54,1 % от общего объема расходов и 99,6 % от годового плана).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Без исполнения остались бюджетные ассигнования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консолидированного бюджета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в общем объеме 71091768,79 рублей по следующим причинам: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 резервирование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сре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дств дл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>я оперативного реагирования в непредвиденных ситуациях;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 экономия по результатам проведения конкурсных процедур и заключения муниципальных контрактов.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Внутренние обороты по доходам и расходам консолидированного бюджета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</w:t>
      </w:r>
      <w:r>
        <w:rPr>
          <w:rFonts w:ascii="Calibri" w:eastAsia="Calibri" w:hAnsi="Calibri" w:cs="Calibri"/>
          <w:color w:val="000000"/>
          <w:sz w:val="28"/>
          <w:szCs w:val="28"/>
        </w:rPr>
        <w:t>го района (межбюджетные трансферты, передаваемые местными бюджетами местным бюджетам) составили 310580659,55 рублей.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Дефицит консолидированного бюджета запланирован в объеме 63978941,24 рублей. Предусмотрены следующие источники покрытия дефицита бюджета: у</w:t>
      </w:r>
      <w:r>
        <w:rPr>
          <w:rFonts w:ascii="Calibri" w:eastAsia="Calibri" w:hAnsi="Calibri" w:cs="Calibri"/>
          <w:color w:val="000000"/>
          <w:sz w:val="28"/>
          <w:szCs w:val="28"/>
        </w:rPr>
        <w:t>меньшение остатков на счетах бюджетов в объеме 63978941,24 рублей. Фактически сложился профицит консолидированного бюджета в объеме 25352358,90 рублей за счет увеличения остатков на счетах бюджетов. Остатки на счетах бюджетов на 01.01.2025 составили 183669</w:t>
      </w:r>
      <w:r>
        <w:rPr>
          <w:rFonts w:ascii="Calibri" w:eastAsia="Calibri" w:hAnsi="Calibri" w:cs="Calibri"/>
          <w:color w:val="000000"/>
          <w:sz w:val="28"/>
          <w:szCs w:val="28"/>
        </w:rPr>
        <w:t>394,40 рублей.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В соответствии со статьей 179 Бюджетного кодекса Российской Федерации органами местного самоуправления проведена работа по разработке и включению в местные бюджеты муниципальных программ. По состоянию на отчетную дату в расходной части местн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ых бюджетов муниципального района и </w:t>
      </w: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поселений предусмотрены мероприятия по 21 муниципальной программе на общую сумму 2625107962,24 рублей. Расходы составили 2554709565,73 рублей или 97,3 %.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Муниципальные программы охватываю различные отрасли.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Это коммуналь</w:t>
      </w:r>
      <w:r>
        <w:rPr>
          <w:rFonts w:ascii="Calibri" w:eastAsia="Calibri" w:hAnsi="Calibri" w:cs="Calibri"/>
          <w:color w:val="000000"/>
          <w:sz w:val="28"/>
          <w:szCs w:val="28"/>
        </w:rPr>
        <w:t>ное, дорожное хозяйства, благоустройство, образование, финансовая политика, транспорт, молодежная политика, культура, физическая культура и спорт, управление, поддержка предпринимательства и АПК.</w:t>
      </w:r>
      <w:proofErr w:type="gramEnd"/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Наиболее крупной (59,5 % от общего объема запланированных ра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сходов по муниципальным программам) является муниципальная программа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"Развитие образования муниципального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муниципальный район Ленинградской области", что обусловлено отраслевой структурой бюджета. </w:t>
      </w:r>
      <w:r>
        <w:rPr>
          <w:rFonts w:ascii="Calibri" w:eastAsia="Calibri" w:hAnsi="Calibri" w:cs="Calibri"/>
          <w:color w:val="000000"/>
          <w:sz w:val="28"/>
          <w:szCs w:val="28"/>
        </w:rPr>
        <w:t>При запланированных объемах 1561669993,08 рублей расходы составили 1553290933,08 рублей или 99,5 %.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Муниципальная программа содержит мероприятия по реализации проектов "Сохранение и развитие материально-технической базы оздоровительных лагерей", </w:t>
      </w:r>
      <w:r>
        <w:rPr>
          <w:rFonts w:ascii="Calibri" w:eastAsia="Calibri" w:hAnsi="Calibri" w:cs="Calibri"/>
          <w:color w:val="000000"/>
          <w:sz w:val="28"/>
          <w:szCs w:val="28"/>
        </w:rPr>
        <w:t>"Современная школа", "Цифровая образовательная среда", "Патриотическое воспитание граждан Российской Федерации"; комплексы процессных мероприятий: "Развитие дошкольного образования детей", "Развитие начального общего, основного общего и среднего общего обр</w:t>
      </w:r>
      <w:r>
        <w:rPr>
          <w:rFonts w:ascii="Calibri" w:eastAsia="Calibri" w:hAnsi="Calibri" w:cs="Calibri"/>
          <w:color w:val="000000"/>
          <w:sz w:val="28"/>
          <w:szCs w:val="28"/>
        </w:rPr>
        <w:t>азования", "Развитие воспитания детей", "Развитие дополнительного образования детей", "Реализация государственных гарантий для детей-сирот и детей, оставшихся без попечения родителей", "Развитие системы отдыха, оздоровления, занятости детей, подростков и м</w:t>
      </w:r>
      <w:r>
        <w:rPr>
          <w:rFonts w:ascii="Calibri" w:eastAsia="Calibri" w:hAnsi="Calibri" w:cs="Calibri"/>
          <w:color w:val="000000"/>
          <w:sz w:val="28"/>
          <w:szCs w:val="28"/>
        </w:rPr>
        <w:t>олодежи", "Управление ресурсами и качеством системы образования ".</w:t>
      </w:r>
    </w:p>
    <w:p w:rsidR="006A322D" w:rsidRDefault="00A35916">
      <w:pPr>
        <w:ind w:firstLine="720"/>
        <w:jc w:val="both"/>
        <w:rPr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 xml:space="preserve">Значительную долю занимает муниципальная программа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городского поселения "Территориальное планирование и развитие инженерной и транспортной инфраструктуры муниципального образов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Сланцевское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городское поселение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Ленинградской области" с плановым объемом финансирования 168835829,86 рублей (6,4 % от общего объема запланированных расходов по муниципальным программам) и муниципальная программа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</w:t>
      </w:r>
      <w:r>
        <w:rPr>
          <w:rFonts w:ascii="Calibri" w:eastAsia="Calibri" w:hAnsi="Calibri" w:cs="Calibri"/>
          <w:color w:val="000000"/>
          <w:sz w:val="28"/>
          <w:szCs w:val="28"/>
        </w:rPr>
        <w:t>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городского поселения "Жилищно-коммунальное хозяйство, повышение степени благоустройства и безопасности дорожного движения на территории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городского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поселения" с плановым объемом финансирования 140872975,89 рублей (5,4 % от общего объе</w:t>
      </w:r>
      <w:r>
        <w:rPr>
          <w:rFonts w:ascii="Calibri" w:eastAsia="Calibri" w:hAnsi="Calibri" w:cs="Calibri"/>
          <w:color w:val="000000"/>
          <w:sz w:val="28"/>
          <w:szCs w:val="28"/>
        </w:rPr>
        <w:t>ма запланированных расходов по муниципальным программам).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В 2024 году все муниципальные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имеют программный бюджет, в структуре расходов консолидированного бюджета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расходы по м</w:t>
      </w:r>
      <w:r>
        <w:rPr>
          <w:rFonts w:ascii="Calibri" w:eastAsia="Calibri" w:hAnsi="Calibri" w:cs="Calibri"/>
          <w:color w:val="000000"/>
          <w:sz w:val="28"/>
          <w:szCs w:val="28"/>
        </w:rPr>
        <w:t>униципальным программам составили 96,8 %.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Бюджетные инвестиции в объекты капитального строительства (КВР 410) бюджетами муниципальных образований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предусмотрены в объеме 34580892,97 рублей. Инвестиции охватывают следующие </w:t>
      </w:r>
      <w:r>
        <w:rPr>
          <w:rFonts w:ascii="Calibri" w:eastAsia="Calibri" w:hAnsi="Calibri" w:cs="Calibri"/>
          <w:color w:val="000000"/>
          <w:sz w:val="28"/>
          <w:szCs w:val="28"/>
        </w:rPr>
        <w:t>отрасли: охрана семьи и детства (приобретение жилья в муниципальную собственность для предоставления отдельным категориям граждан). Расходы в 2024 году произведены в сумме 33997192,00 рублей – приобретение жилья для детей-сирот и детей, оставшихся без попе</w:t>
      </w:r>
      <w:r>
        <w:rPr>
          <w:rFonts w:ascii="Calibri" w:eastAsia="Calibri" w:hAnsi="Calibri" w:cs="Calibri"/>
          <w:color w:val="000000"/>
          <w:sz w:val="28"/>
          <w:szCs w:val="28"/>
        </w:rPr>
        <w:t>чения родителей.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 состоянию на 01.01.2025 года муниципальный долг у муниципальных образований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отсутствует. Расходы на обслуживание муниципального долга в 2024 году отсутствуют.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ind w:firstLine="720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Раздел 4</w:t>
      </w:r>
    </w:p>
    <w:p w:rsidR="006A322D" w:rsidRDefault="00A35916">
      <w:pPr>
        <w:ind w:firstLine="720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«Анализ показателей бухгалтерск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ой отчетности субъекта бюджетной отчетности»</w:t>
      </w:r>
    </w:p>
    <w:p w:rsidR="006A322D" w:rsidRDefault="00A35916">
      <w:pPr>
        <w:ind w:firstLine="720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Показатели формы 0503368 «Сведения о движении нефинансовых активов» по  счету 010100000 «Основные средства» </w:t>
      </w:r>
    </w:p>
    <w:p w:rsidR="006A322D" w:rsidRDefault="00A35916">
      <w:pPr>
        <w:ind w:firstLine="8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 Приобретено в 2024 финансовом году нефинансовых активов на сумму 98 334 502,39 руб., в т. ч.: 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- О</w:t>
      </w:r>
      <w:r>
        <w:rPr>
          <w:rFonts w:ascii="Calibri" w:eastAsia="Calibri" w:hAnsi="Calibri" w:cs="Calibri"/>
          <w:color w:val="000000"/>
          <w:sz w:val="28"/>
          <w:szCs w:val="28"/>
        </w:rPr>
        <w:t>бразовательными учреждениями  приобретено основных средств на сумму 14 446 792,00 руб. (учебные стенды, комплекты «Лаборатория дошкольника», медицинское оборудование, учебники, музыкальные инструменты, кухонные машины, холодильники, электроплиты, водонагре</w:t>
      </w:r>
      <w:r>
        <w:rPr>
          <w:rFonts w:ascii="Calibri" w:eastAsia="Calibri" w:hAnsi="Calibri" w:cs="Calibri"/>
          <w:color w:val="000000"/>
          <w:sz w:val="28"/>
          <w:szCs w:val="28"/>
        </w:rPr>
        <w:t>ватели, спортивные принадлежности и др.);</w:t>
      </w:r>
      <w:proofErr w:type="gramEnd"/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- Администрациями района и поселений в 2024 финансовом году приобретено основных средств на сумму 31 395 406,95 руб. (системы экстренного оповещения работников и посетителей объекта о потенциальной угрозе возникно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вения или возникновении ЧС, садовые скамейки, садовые беседки, детские комплексы, остановочные павильоны, детские игровые площадки, мусорные контейнеры и др.). </w:t>
      </w:r>
    </w:p>
    <w:p w:rsidR="006A322D" w:rsidRDefault="00A35916">
      <w:pPr>
        <w:jc w:val="both"/>
        <w:rPr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 xml:space="preserve">-  Прочими учреждениями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в 2024 финансовом году приобретено о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сновных средств на сумму 15 125 612,75 руб.  (цифровые лаборатории для создания и функционирования </w:t>
      </w: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</w:t>
      </w:r>
      <w:r>
        <w:rPr>
          <w:rFonts w:ascii="Calibri" w:eastAsia="Calibri" w:hAnsi="Calibri" w:cs="Calibri"/>
          <w:color w:val="000000"/>
          <w:sz w:val="28"/>
          <w:szCs w:val="28"/>
        </w:rPr>
        <w:t>ах в целях достижения показателей и результатов федерального проекта "Современная школа", в рамках государственной программы Ленинградской области "Современное образование Ленинградской области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",  ноутбуки, интерактивные панели, образовательные наборы для </w:t>
      </w:r>
      <w:r>
        <w:rPr>
          <w:rFonts w:ascii="Calibri" w:eastAsia="Calibri" w:hAnsi="Calibri" w:cs="Calibri"/>
          <w:color w:val="000000"/>
          <w:sz w:val="28"/>
          <w:szCs w:val="28"/>
        </w:rPr>
        <w:t>изучения многокомпонентных робототехнических систем и манипуляционных роботов, оборудование для демонстрации опытов, оборудование для уличного освещения, книги, воздуходувки, одежда для сцены и др.). Приобретено двадцать две благоустроенных квартиры в собс</w:t>
      </w:r>
      <w:r>
        <w:rPr>
          <w:rFonts w:ascii="Calibri" w:eastAsia="Calibri" w:hAnsi="Calibri" w:cs="Calibri"/>
          <w:color w:val="000000"/>
          <w:sz w:val="28"/>
          <w:szCs w:val="28"/>
        </w:rPr>
        <w:t>твенность муниципального образования для предоставления лицам из числа детей сирот и детей, оставшихся без попечения родителей балансовой стоимостью 33 997 192,00 руб.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Показатели формы 0503368 «Сведения о движении нефинансовых активов» по  счету 010400000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«Амортизация» на начало года не соответствуют идентичным показателям прошлого года. Ошибки выявлены учреждениями.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Изменение валюты баланса составляет -322 515,19 руб., в т. ч.: по  счету 0104Х4000 «Амортизация машин и оборудования» изменение валюты баланса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составляет -221 193,01 руб.; по  счету 0104Х6000 «Амортизация инвентаря производственного и хозяйственного) изменение валюты баланса составляет -101 322,18 руб.</w:t>
      </w:r>
      <w:proofErr w:type="gramEnd"/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Показатели формы 0503368 «Сведения о движении нефинансовых активов» по  счету 010600000 «Вложе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ния в иное движимое имущество» на начало 2024 года составляют 627 200,00 руб. (затраты на проектную документацию на систему оповещения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района). Увеличение и уменьшение расходов на реализацию инвестиционных проектов за 2024 год составляет 33 99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7 192,00 руб. (двадцать два жилых помещения). Вложения в иное движимое имущество за 2024 год составляют 64 337 310,39 руб. в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т.ч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 от Комитета по культуре и туризму Ленинградской области получены безвозмездно капитальные вложения в сумме 3 369 498,69 руб. (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книги).  За 2024 год введено в эксплуатацию объектов капитальных вложений балансовой стоимостью 64 400 910,39 руб. Остаток вложений в иное движимое имущество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на конец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2024 года составляет 563 600,00 руб.       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0102ХI000 «Программное обеспечение и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базы данных» на начало и конец 2024 года числится приобретенный веб-сайт «Книга памяти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района» (исключительное право) с неопределенным сроком полезного использования балансовой стоимостью 500 000,00 руб.</w:t>
      </w:r>
    </w:p>
    <w:p w:rsidR="006A322D" w:rsidRDefault="00A35916">
      <w:pPr>
        <w:ind w:firstLine="700"/>
        <w:jc w:val="both"/>
        <w:rPr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Показатели формы 0503368 «Сведения о д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вижении нефинансовых активов» по  счету 010300000 «Непроизведенные активы», в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т.ч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.: по  счету 010313000 «Прочие непроизведенные активы»  Комитетом по </w:t>
      </w: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управлению муниципальным имуществом и земельными ресурсами администрации муниципального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</w:t>
      </w:r>
      <w:r>
        <w:rPr>
          <w:rFonts w:ascii="Calibri" w:eastAsia="Calibri" w:hAnsi="Calibri" w:cs="Calibri"/>
          <w:color w:val="000000"/>
          <w:sz w:val="28"/>
          <w:szCs w:val="28"/>
        </w:rPr>
        <w:t>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муниципальный район Ленинградской области передан безвозмездно Федеральной службе безопасности Российской Федерации один земельный участок д. Отрадное, площадью 400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кв.м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., балансовой стоимостью 44 000,00 руб.</w:t>
      </w:r>
      <w:proofErr w:type="gramEnd"/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Показатели формы 0503368 «Сведения о движ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ении нефинансовых активов» по  счету 01114Х000 «Права пользования нефинансовыми активами» за 2024 год сократились на 5 689 167,59 руб. 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111 6I «Права пользования нематериальными активами» балансовая стоимость за 2024 год увеличились на 1 051 566,5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0 руб. и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на конец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2024 года составляет 6 160 179,19 руб.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Показатели формы 0503368 «Сведения о движении нефинансовых активов».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Балансовая стоимость по счету 010851000 «Недвижимое имущество в составе имущества казны»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на конец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2024 года увеличилась на 199 452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924,41 руб. (приняты в муниципальную собственность водозаборное сооружение, братские захоронения, здание церкви и др.)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 Показатели формы 0503368 «Сведения о движении нефинансовых активов» по  счету 010852000 «Движимое имущество в составе имущества казны»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 на начало года не соответствуют идентичным показателям прошлого года. Ошибка выявлена учреждением. Изменение валюты баланса составляет 2 375 200,00руб. От Департамента городского имущества города Москвы получены безвозмездно пять нестационарных киосков «</w:t>
      </w:r>
      <w:r>
        <w:rPr>
          <w:rFonts w:ascii="Calibri" w:eastAsia="Calibri" w:hAnsi="Calibri" w:cs="Calibri"/>
          <w:color w:val="000000"/>
          <w:sz w:val="28"/>
          <w:szCs w:val="28"/>
        </w:rPr>
        <w:t>Печать» балансовой стоимостью 8 197 513 65 руб., и амортизацией 6 364 209,89 руб.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Показатели формы 0503368 «Сведения о движении нефинансовых активов» по  счету 010451000 «Амортизация недвижимого имущества в составе имущества казны» на начало года не соотве</w:t>
      </w:r>
      <w:r>
        <w:rPr>
          <w:rFonts w:ascii="Calibri" w:eastAsia="Calibri" w:hAnsi="Calibri" w:cs="Calibri"/>
          <w:color w:val="000000"/>
          <w:sz w:val="28"/>
          <w:szCs w:val="28"/>
        </w:rPr>
        <w:t>тствуют идентичным показателям прошлого года. Ошибка выявлена учреждением. Изменение валюты баланса составляет -13 386 012,35 руб.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Показатели формы 0503368 «Сведения о движении нефинансовых активов» по  счету 010452000 «Амортизация движимого имущества в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составе имущества казны» на начало года не соответствуют идентичным показателям прошлого года. Ошибка выявлена учреждением. Изменение валюты баланса составляет – 20 330,45 руб.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Остаточная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стоимости нефинансовых активов по счету 010800000 на начало 2024 год</w:t>
      </w:r>
      <w:r>
        <w:rPr>
          <w:rFonts w:ascii="Calibri" w:eastAsia="Calibri" w:hAnsi="Calibri" w:cs="Calibri"/>
          <w:color w:val="000000"/>
          <w:sz w:val="28"/>
          <w:szCs w:val="28"/>
        </w:rPr>
        <w:t>а увеличилась на 15 740 881,90 руб.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Показатели формы 0503368 «Сведения о движении нефинансовых активов».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По счету 0 10855000 «Непроизведенные активы в составе имущества казны»       на начало 2024 года на учете числилось сто девяносто три земельных участка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общей площадью 1 463 676,92 кв. м., балансовой стоимостью </w:t>
      </w: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396 926 564,93 руб. За 2024 год поступило семнадцать земельных участков, общей площадью 22 874,00 кв. м., балансовой стоимостью 10 474 666,33 руб. Выбыло одиннадцать участков, общей площадью 255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> 6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21,00 кв. м., балансовой стоимостью 143 784 426,49 руб.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На конец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2024 года на учете числится двести девятнадцать земельных участков, общей площадью 1 230 929,92 кв. м., балансовой стоимостью 263 616 804,77 руб.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Счет 0 108 56 «Материальные запасы в составе </w:t>
      </w:r>
      <w:r>
        <w:rPr>
          <w:rFonts w:ascii="Calibri" w:eastAsia="Calibri" w:hAnsi="Calibri" w:cs="Calibri"/>
          <w:color w:val="000000"/>
          <w:sz w:val="28"/>
          <w:szCs w:val="28"/>
        </w:rPr>
        <w:t>имущества казны». На начало 2024 года стоимость материальных запасов в составе имущества казны составляет 79 200,00 руб. (строительные). Стоимость поступивших  за 2024 год материальных запасов в составе имущества казны составляет 55 812,93 руб. Стоимость в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ыбывших 54 766,57 руб. Стоимость материальных запасов в составе имущества казны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на конец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2024 года составляет 80 246,36 руб. (строительные).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Счет 0 108 9Х «Имущество казны в концессии». На начало и конец 2024 года числится имущество, переданное по концесси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онному соглашению от 30.12.2016 №1/2016, заключенное между администрацией муниципального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Старопольское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Ленинградской области и Обществом с ограниченной ответственностью «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Акватерм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» в отношени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и двух объектов теплоснабжения, балансовой стоимостью 1 675 403,78 руб. 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      В ф.0503371 по счету 1 20430000 «Акции и иные формы участия в капитале» отражена сумма 509 219 321,13 руб. В том числе по счету 1 20433000 «Участие в государственных (муниципал</w:t>
      </w:r>
      <w:r>
        <w:rPr>
          <w:rFonts w:ascii="Calibri" w:eastAsia="Calibri" w:hAnsi="Calibri" w:cs="Calibri"/>
          <w:color w:val="000000"/>
          <w:sz w:val="28"/>
          <w:szCs w:val="28"/>
        </w:rPr>
        <w:t>ьных) учреждениях» 507 838 831,13 руб. (муниципальные бюджетные учреждения). По счету 1 20434000 «Иные формы участия в капитале» 1 380 490,00 руб. (МП "ПКБУ").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Дебиторская задолженность по бюджетной деятельности на 01.01.2025 года составила 3 741 664 952,5</w:t>
      </w:r>
      <w:r>
        <w:rPr>
          <w:rFonts w:ascii="Calibri" w:eastAsia="Calibri" w:hAnsi="Calibri" w:cs="Calibri"/>
          <w:color w:val="000000"/>
          <w:sz w:val="28"/>
          <w:szCs w:val="28"/>
        </w:rPr>
        <w:t>0 рубля.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 счету 1 20500000 «Расчеты  по доходам» общая сумма задолженности составила 3 693 673 062,39 рубля. 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120511000 «Расчеты с плательщиками налогов» отражена задолженность по налогам в сумме 10 010 723,91 рубля (Налоговая инспекция города и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сельских поселений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района), в том числе просроченная 9 327 687,19 рублей (Налоговая инспекция города и сельских поселений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района).</w:t>
      </w:r>
    </w:p>
    <w:p w:rsidR="006A322D" w:rsidRDefault="00A35916">
      <w:pPr>
        <w:ind w:firstLine="720"/>
        <w:jc w:val="both"/>
        <w:rPr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По счету 120521000 «Расчеты по доходам от операционной аренды» отраж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ены расчеты с пользователями имущества по арендным платежам за оставшиеся сроки действия договоров в сумме 241 391 782,56 рубля (КУМИ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(города), администрации сельских поселений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района), в том ч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исле долгосрочная 235 685 413,99 рублей (КУМИ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(города), администрации сельских поселений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района).</w:t>
      </w:r>
      <w:proofErr w:type="gramEnd"/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120523000 «Расчеты по доходам от платежей при пользовании природными ресурсами» отраже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ны расчеты по арендным платежам за землю за оставшиеся сроки действия договоров в сумме 2 034 471 744,67 рубля (КУМИ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(города)), в том числе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долгосрочная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2 034 091 154,05 рубля (КУМИ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(гор</w:t>
      </w:r>
      <w:r>
        <w:rPr>
          <w:rFonts w:ascii="Calibri" w:eastAsia="Calibri" w:hAnsi="Calibri" w:cs="Calibri"/>
          <w:color w:val="000000"/>
          <w:sz w:val="28"/>
          <w:szCs w:val="28"/>
        </w:rPr>
        <w:t>ода)).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 счету 120529000 «Расчеты по иным доходам от собственности» отражены расчеты с пользователями имущества по социальному найму жилых помещений в сумме 9 737 829,79 рублей (КУМИ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(города), администрация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Выскатского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с</w:t>
      </w:r>
      <w:r>
        <w:rPr>
          <w:rFonts w:ascii="Calibri" w:eastAsia="Calibri" w:hAnsi="Calibri" w:cs="Calibri"/>
          <w:color w:val="000000"/>
          <w:sz w:val="28"/>
          <w:szCs w:val="28"/>
        </w:rPr>
        <w:t>ельского поселения).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 счету 120545000 «Расчеты по прочим доходам от сумм  принудительного изъятия» отражена задолженность по оплате штрафов в сумме 3 007 689,68 рублей (МВД, Комитет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Госстройнадзора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ЛО), в том числе долгосрочная 342 681,84 рубль (Комитет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Госстройнадзора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ЛО), в том числе просроченная 2 108 578,05 рублей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(МВД). 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1 20551000 «Расчеты по поступлениям текущего характера от других бюджетов бюджетной системы Российской Федерации» отражены доходы будущих периодов по межбюджетным трансферта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м в сумме 1 290 411 081,31 рубль (администрации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(города), сельских поселений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района, Комитет образования, Комитет финансов (ГРБС)). 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        По счету 1 20553000 «Расчеты по поступлениям текуще</w:t>
      </w:r>
      <w:r>
        <w:rPr>
          <w:rFonts w:ascii="Calibri" w:eastAsia="Calibri" w:hAnsi="Calibri" w:cs="Calibri"/>
          <w:color w:val="000000"/>
          <w:sz w:val="28"/>
          <w:szCs w:val="28"/>
        </w:rPr>
        <w:t>го характера в бюджеты бюджетной системы Российской Федерации от бюджетных и автономных учреждений» отражена задолженность в сумме 54 970 103,58 рубля (Комитет образования).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1 20555000 «Расчеты по поступлениям текущего характера от иных резидентов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(за исключением сектора государственного управления и организаций государственного сектора)» в общей сумме 2 003 879,75 рублей (Администрация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городского поселения).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 счету 120571000 «Расчеты по доходам от операций с основными средствами» в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общей сумме 5 763 601,16 рубль (КУМИ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(города), администрация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Выскатского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сельского поселения).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1 20600000 «Расчеты по выданным  авансам»  дебиторская задолженность составила  37 312 197,75 рублей.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По счету 1 2062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3000 «Расчеты по авансам по коммунальным услугам» дебиторская задолженность составляет 5 206 082,84 рубля - предоплата за коммунальные услуги по учреждениям образования, Комитет образования, КУМИ города, МКУК КДЦ,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Выскатского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Гостицкого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, Новосельского сел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ьских поселений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(города), МКУ ФОК СМР, МКУК СМЦРБ, РВС. 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1 20626000 «Расчеты по авансам по прочим работам, услугам» дебиторская задолженность составила 1 263 511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,16 рублей (администрация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 (города), МКУ ФОК СМР, МКУК СМЦРБ,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Выскатского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Новосельского сельских поселений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района).</w:t>
      </w:r>
    </w:p>
    <w:p w:rsidR="006A322D" w:rsidRDefault="00A35916">
      <w:pPr>
        <w:ind w:firstLine="700"/>
        <w:jc w:val="both"/>
        <w:rPr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По счету 1 20681000 «Расчеты по авансовым безвозмездным перечислениям капитал</w:t>
      </w:r>
      <w:r>
        <w:rPr>
          <w:rFonts w:ascii="Calibri" w:eastAsia="Calibri" w:hAnsi="Calibri" w:cs="Calibri"/>
          <w:color w:val="000000"/>
          <w:sz w:val="28"/>
          <w:szCs w:val="28"/>
        </w:rPr>
        <w:t>ьного характера государственным (муниципальным) учреждениям» дебиторская задолженность составляет 30 575 109,20 рублей – перечисления МБТ по соглашениям (перечисления бюджетным учреждениям образования для осуществления деятельности (Комитет образования).</w:t>
      </w:r>
      <w:proofErr w:type="gramEnd"/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</w:t>
      </w:r>
      <w:r>
        <w:rPr>
          <w:rFonts w:ascii="Calibri" w:eastAsia="Calibri" w:hAnsi="Calibri" w:cs="Calibri"/>
          <w:color w:val="000000"/>
          <w:sz w:val="28"/>
          <w:szCs w:val="28"/>
        </w:rPr>
        <w:t>о счету 1 20800000 «Расчеты с подотчетными лицами</w:t>
      </w:r>
      <w:r>
        <w:rPr>
          <w:rFonts w:ascii="Calibri" w:eastAsia="Calibri" w:hAnsi="Calibri" w:cs="Calibri"/>
          <w:color w:val="000000"/>
        </w:rPr>
        <w:t xml:space="preserve">»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дебиторская задолженность составила  399 739,82 рублей. 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1 20900000 «Расчеты по ущербу и иным доходам» дебиторская задолженность составила  51 951 152,54 рубль.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         По счету 1 20941000 «Расч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еты по доходам от штрафных санкций за нарушение условий контрактов (договоров)» дебиторская задолженность составляет 51 842 509,42 рублей (КУМИ город, администрация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Сланцевского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муниципального района).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Дебиторская задолженность учреждений по состоянию на 0</w:t>
      </w:r>
      <w:r>
        <w:rPr>
          <w:rFonts w:ascii="Calibri" w:eastAsia="Calibri" w:hAnsi="Calibri" w:cs="Calibri"/>
          <w:color w:val="000000"/>
          <w:sz w:val="28"/>
          <w:szCs w:val="28"/>
        </w:rPr>
        <w:t>1.01.2025 образовалась вследствие заключенных договоров и муниципальных контрактов, исполнение которых предусмотрено в 2024 - 2026 годах. Задолженность, за исключением задолженности по арендным платежам, является краткосрочной, со сроком погашения в течени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е 12 месяцев после отчетной даты. 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Кредиторская задолженность по бюджетной деятельности по состоянию на 01.01.2025 года составляет 5 187 867,63 рубля, в том числе просроченная задолженность 0 рублей. 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140140000 «Доходы будущих периодов» сумма     </w:t>
      </w:r>
      <w:r>
        <w:rPr>
          <w:rFonts w:ascii="Calibri" w:eastAsia="Calibri" w:hAnsi="Calibri" w:cs="Calibri"/>
          <w:color w:val="000000"/>
          <w:sz w:val="28"/>
          <w:szCs w:val="28"/>
        </w:rPr>
        <w:t>                    3 587 126 295,65 (начислены доходы будущих периодов в соответствии со сроком договора аренды, субсидии, межбюджетные трансферты, доходы от продажи имущества с рассрочкой платежа, уведомления по расчетам между бюджетами).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По счету 140160</w:t>
      </w:r>
      <w:r>
        <w:rPr>
          <w:rFonts w:ascii="Calibri" w:eastAsia="Calibri" w:hAnsi="Calibri" w:cs="Calibri"/>
          <w:color w:val="000000"/>
          <w:sz w:val="28"/>
          <w:szCs w:val="28"/>
        </w:rPr>
        <w:t>000 «Резервы предстоящих расходов» сумма               51 803 644,32 - резервы предстоящих отпусков с начислениями, принятые обязательства.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 счету 120500000 «Расчеты  по доходам» общая сумма кредиторской задолженности составила 3 931 125,20 рублей. 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счету 120511000 «Расчеты с плательщиками налогов» отражена задолженность по налогам в сумме  2 640 794,84 руб.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         По счету 120531000  « Расчеты по доходам от оказания платных  услуг (работ)» сумма кредиторской задолженности составила 1 173 075,14 </w:t>
      </w:r>
      <w:r>
        <w:rPr>
          <w:rFonts w:ascii="Calibri" w:eastAsia="Calibri" w:hAnsi="Calibri" w:cs="Calibri"/>
          <w:color w:val="000000"/>
          <w:sz w:val="28"/>
          <w:szCs w:val="28"/>
        </w:rPr>
        <w:t> рублей, причина образования - переплата  по родительской плате (отпуска, болезни детей).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По счету 120581000 «Расчеты по невыясненным поступлениям» сумма задолженности 87 940,50 руб. Уточнение будет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производится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в течение 2025 года.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По счету 130200000 «</w:t>
      </w:r>
      <w:r>
        <w:rPr>
          <w:rFonts w:ascii="Calibri" w:eastAsia="Calibri" w:hAnsi="Calibri" w:cs="Calibri"/>
          <w:color w:val="000000"/>
          <w:sz w:val="28"/>
          <w:szCs w:val="28"/>
        </w:rPr>
        <w:t>Рас</w:t>
      </w:r>
      <w:r>
        <w:rPr>
          <w:rFonts w:ascii="Calibri" w:eastAsia="Calibri" w:hAnsi="Calibri" w:cs="Calibri"/>
          <w:color w:val="000000"/>
          <w:sz w:val="28"/>
          <w:szCs w:val="28"/>
        </w:rPr>
        <w:t>четы по принятым обязательствам» общая сумма кредиторской задолженности составила 372 263,64 рублей.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Из них по счету 130223000  «Расчеты по коммунальным услугам» общая сумма 104 363,20 рублей (задолженность будет погашена в январе 2025г)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130234000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«Расчеты по приобретению материальных запасов» сумма задолженности 264 497,60 рублей (поставка продуктов питания). Срок оплаты в январе 2025 года.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По счету 130300000 «Расчеты по платежам в бюджет» общая сумма кредиторской задолженности составила 884 478,7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9 рублей </w:t>
      </w:r>
    </w:p>
    <w:p w:rsidR="006A322D" w:rsidRDefault="00A35916">
      <w:pPr>
        <w:ind w:firstLine="700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По счету 130305000 «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Расчеты по прочим платежам в бюджет» </w:t>
      </w: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сумма задолженности составляет 583 274,75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руб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 – возврат </w:t>
      </w:r>
      <w:r>
        <w:rPr>
          <w:rFonts w:ascii="Calibri" w:eastAsia="Calibri" w:hAnsi="Calibri" w:cs="Calibri"/>
          <w:color w:val="000000"/>
          <w:sz w:val="28"/>
          <w:szCs w:val="28"/>
        </w:rPr>
        <w:t>межбюджетных трансфертов.</w:t>
      </w:r>
      <w:r>
        <w:rPr>
          <w:rFonts w:ascii="Calibri" w:eastAsia="Calibri" w:hAnsi="Calibri" w:cs="Calibri"/>
          <w:color w:val="000000"/>
          <w:sz w:val="28"/>
          <w:szCs w:val="28"/>
        </w:rPr>
        <w:br/>
        <w:t xml:space="preserve">  </w:t>
      </w: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По счету 130315000 «Расчеты по единому страховому тарифу» сумма задолженности составляет 301 204,04 руб. </w:t>
      </w: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Срок оплаты в январе 2025 года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         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                                                              </w:t>
      </w:r>
    </w:p>
    <w:p w:rsidR="006A322D" w:rsidRDefault="00A35916">
      <w:pP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Раздел 5</w:t>
      </w:r>
    </w:p>
    <w:p w:rsidR="006A322D" w:rsidRDefault="00A35916">
      <w:pP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«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Прочие вопросы деятельности субъекта бюджетной отчетности»</w:t>
      </w:r>
    </w:p>
    <w:p w:rsidR="006A322D" w:rsidRDefault="00A35916">
      <w:pPr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6A322D" w:rsidRDefault="00A35916">
      <w:pPr>
        <w:ind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По состоянию на 01.01.2025 года расхождений между ф. 0503152 "Консолидирован</w:t>
      </w:r>
      <w:r>
        <w:rPr>
          <w:rFonts w:ascii="Calibri" w:eastAsia="Calibri" w:hAnsi="Calibri" w:cs="Calibri"/>
          <w:color w:val="000000"/>
          <w:sz w:val="28"/>
          <w:szCs w:val="28"/>
        </w:rPr>
        <w:t>ный отчет о кассовых поступлениях и выбытиях" УФК по Ленинградской области и ф. 0503317 "Отчет об исполнении консолидированного бюджета субъекта Российской Федерации и бюджета территориального государственного внебюджетного фонда" Комитета финансов админис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трации муниципального образования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Сланцевский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  муниципальный район Ленинградской области нет. </w:t>
      </w:r>
    </w:p>
    <w:p w:rsidR="006A322D" w:rsidRDefault="00A35916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Изменение утвержденных бюджетных ассигнований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по сравнению с прошлым месяцем связано с внесением изменений в сводную бюджетную роспись в соответствии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со ст. 217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Бюджетного кодекса РФ. 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Заместитель главы администрации - 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председатель комитета                                                             Ю.В. Павлова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Начальник бюджетного отдела                                               Е.В.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Соботюк</w:t>
      </w:r>
      <w:proofErr w:type="spellEnd"/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Начальник отдела казначейского исполнения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бюджета - главный бухгалтер                                                      Е.В. Евдокимова</w:t>
      </w:r>
    </w:p>
    <w:p w:rsidR="006A322D" w:rsidRDefault="00A35916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6A322D" w:rsidRDefault="00A35916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6A322D" w:rsidRDefault="006A322D"/>
    <w:p w:rsidR="006A322D" w:rsidRDefault="00A3591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322D" w:rsidRDefault="00A3591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322D" w:rsidRDefault="00A3591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345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525"/>
        <w:gridCol w:w="3735"/>
      </w:tblGrid>
      <w:tr w:rsidR="006A322D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Павлова Юлия Васильевна</w:t>
            </w:r>
          </w:p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6A322D">
        <w:trPr>
          <w:trHeight w:val="280"/>
        </w:trPr>
        <w:tc>
          <w:tcPr>
            <w:tcW w:w="30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22D" w:rsidRDefault="006A322D">
            <w:pPr>
              <w:rPr>
                <w:sz w:val="24"/>
              </w:rPr>
            </w:pP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6A322D">
            <w:pPr>
              <w:rPr>
                <w:sz w:val="24"/>
              </w:rPr>
            </w:pPr>
          </w:p>
        </w:tc>
      </w:tr>
      <w:tr w:rsidR="006A322D">
        <w:trPr>
          <w:trHeight w:val="281"/>
        </w:trPr>
        <w:tc>
          <w:tcPr>
            <w:tcW w:w="1234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6A322D">
        <w:trPr>
          <w:trHeight w:val="281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финансов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6A322D">
        <w:trPr>
          <w:trHeight w:val="281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 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322D">
        <w:trPr>
          <w:trHeight w:val="281"/>
        </w:trPr>
        <w:tc>
          <w:tcPr>
            <w:tcW w:w="1234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322D">
        <w:trPr>
          <w:trHeight w:val="281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ind w:left="-139" w:right="-288" w:firstLine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Евдокимова Екатерина Викторовна</w:t>
            </w:r>
          </w:p>
        </w:tc>
      </w:tr>
      <w:tr w:rsidR="006A322D">
        <w:trPr>
          <w:trHeight w:val="281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6A322D">
            <w:pPr>
              <w:rPr>
                <w:sz w:val="24"/>
              </w:rPr>
            </w:pP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6A322D">
        <w:trPr>
          <w:trHeight w:val="449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6A322D">
            <w:pPr>
              <w:rPr>
                <w:sz w:val="24"/>
              </w:rPr>
            </w:pP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A359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22D" w:rsidRDefault="006A322D">
            <w:pPr>
              <w:rPr>
                <w:sz w:val="24"/>
              </w:rPr>
            </w:pPr>
          </w:p>
        </w:tc>
      </w:tr>
    </w:tbl>
    <w:p w:rsidR="006A322D" w:rsidRDefault="00A35916"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электронной подписью.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Главный 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Евдокимова Екатерина Викторовна, Сертификат: 48E58EB9F6C6E879A11FA3CBC2DE5ADD, Действителен: с 22.04.2024 по 16.07.2025),Руководитель финансово-экономической службы(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Соботюк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Екатерина Владимировна, Сертификат: 00C0B3022346A5AC49D5E4BBB188D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3E882, Действителен: с 27.01.2025 по 22.04.2026),Руководитель(Павлова Юлия Васильевна, Сертификат: 008E444D743E35BD4B3052685EAE714693, Действителен: с 13.05.2024 по 06.08.2025)        </w:t>
      </w:r>
    </w:p>
    <w:sectPr w:rsidR="006A322D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6E061"/>
    <w:multiLevelType w:val="hybridMultilevel"/>
    <w:tmpl w:val="4A7275E8"/>
    <w:lvl w:ilvl="0" w:tplc="47EAE06F">
      <w:start w:val="1"/>
      <w:numFmt w:val="decimal"/>
      <w:lvlText w:val="%1."/>
      <w:lvlJc w:val="left"/>
      <w:pPr>
        <w:ind w:left="720" w:hanging="360"/>
      </w:pPr>
    </w:lvl>
    <w:lvl w:ilvl="1" w:tplc="168BEB38">
      <w:start w:val="1"/>
      <w:numFmt w:val="decimal"/>
      <w:lvlText w:val="%2."/>
      <w:lvlJc w:val="left"/>
      <w:pPr>
        <w:ind w:left="1440" w:hanging="360"/>
      </w:pPr>
    </w:lvl>
    <w:lvl w:ilvl="2" w:tplc="56C29A5D">
      <w:start w:val="1"/>
      <w:numFmt w:val="decimal"/>
      <w:lvlText w:val="%3."/>
      <w:lvlJc w:val="left"/>
      <w:pPr>
        <w:ind w:left="2160" w:hanging="360"/>
      </w:pPr>
    </w:lvl>
    <w:lvl w:ilvl="3" w:tplc="65637544">
      <w:start w:val="1"/>
      <w:numFmt w:val="decimal"/>
      <w:lvlText w:val="%4."/>
      <w:lvlJc w:val="left"/>
      <w:pPr>
        <w:ind w:left="2880" w:hanging="360"/>
      </w:pPr>
    </w:lvl>
    <w:lvl w:ilvl="4" w:tplc="5E823EF2">
      <w:start w:val="1"/>
      <w:numFmt w:val="decimal"/>
      <w:lvlText w:val="%5."/>
      <w:lvlJc w:val="left"/>
      <w:pPr>
        <w:ind w:left="3600" w:hanging="360"/>
      </w:pPr>
    </w:lvl>
    <w:lvl w:ilvl="5" w:tplc="0190CB77">
      <w:start w:val="1"/>
      <w:numFmt w:val="decimal"/>
      <w:lvlText w:val="%6."/>
      <w:lvlJc w:val="left"/>
      <w:pPr>
        <w:ind w:left="4320" w:hanging="360"/>
      </w:pPr>
    </w:lvl>
    <w:lvl w:ilvl="6" w:tplc="65C3D1E9">
      <w:start w:val="1"/>
      <w:numFmt w:val="decimal"/>
      <w:lvlText w:val="%7."/>
      <w:lvlJc w:val="left"/>
      <w:pPr>
        <w:ind w:left="5040" w:hanging="360"/>
      </w:pPr>
    </w:lvl>
    <w:lvl w:ilvl="7" w:tplc="6E5FD8E1">
      <w:start w:val="1"/>
      <w:numFmt w:val="decimal"/>
      <w:lvlText w:val="%8."/>
      <w:lvlJc w:val="left"/>
      <w:pPr>
        <w:ind w:left="5760" w:hanging="360"/>
      </w:pPr>
    </w:lvl>
    <w:lvl w:ilvl="8" w:tplc="2463E52F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2D"/>
    <w:rsid w:val="006A322D"/>
    <w:rsid w:val="00A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4787</Words>
  <Characters>27287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Дерезенко Юлия В.</dc:creator>
  <cp:lastModifiedBy>Дерезенко Юлия В.</cp:lastModifiedBy>
  <cp:revision>2</cp:revision>
  <dcterms:created xsi:type="dcterms:W3CDTF">2025-02-28T12:36:00Z</dcterms:created>
  <dcterms:modified xsi:type="dcterms:W3CDTF">2025-02-28T12:36:00Z</dcterms:modified>
</cp:coreProperties>
</file>