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BD" w:rsidRDefault="00543EFD">
      <w:pPr>
        <w:pStyle w:val="1e413d3e323d3e3942353a4142"/>
        <w:spacing w:after="0"/>
        <w:jc w:val="center"/>
        <w:rPr>
          <w:b/>
          <w:sz w:val="20"/>
          <w:szCs w:val="20"/>
          <w:lang w:bidi="ar-SA"/>
        </w:rPr>
      </w:pPr>
      <w:bookmarkStart w:id="0" w:name="_GoBack"/>
      <w:bookmarkEnd w:id="0"/>
      <w:r>
        <w:rPr>
          <w:b/>
          <w:bCs/>
          <w:sz w:val="20"/>
          <w:szCs w:val="20"/>
          <w:lang w:bidi="ar-SA"/>
        </w:rPr>
        <w:t xml:space="preserve">Подпрограмма «Развитие молодежной политики на территории Сланцевского городского поселения» муниципальной программы </w:t>
      </w:r>
      <w:r>
        <w:rPr>
          <w:b/>
          <w:sz w:val="20"/>
          <w:szCs w:val="20"/>
          <w:lang w:bidi="ar-SA"/>
        </w:rPr>
        <w:t xml:space="preserve">«Развитие культуры, спорта и молодежной политики на территории </w:t>
      </w:r>
      <w:r>
        <w:rPr>
          <w:b/>
          <w:sz w:val="20"/>
          <w:szCs w:val="20"/>
          <w:lang w:bidi="ar-SA"/>
        </w:rPr>
        <w:t>Сланцевского городского поселения на 2017 – 2019 годы»</w:t>
      </w:r>
    </w:p>
    <w:p w:rsidR="00A56ABD" w:rsidRDefault="00543EFD">
      <w:pPr>
        <w:pStyle w:val="1e413d3e323d3e3942353a4142"/>
        <w:spacing w:after="0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 </w:t>
      </w:r>
    </w:p>
    <w:p w:rsidR="00A56ABD" w:rsidRDefault="00543EFD">
      <w:pPr>
        <w:pStyle w:val="1e413d3e323d3e3942353a4142"/>
        <w:spacing w:after="0"/>
        <w:jc w:val="center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ПАСПОРТ</w:t>
      </w:r>
    </w:p>
    <w:p w:rsidR="00A56ABD" w:rsidRDefault="00543EFD">
      <w:pPr>
        <w:pStyle w:val="1e413d3e323d3e3942353a4142"/>
        <w:spacing w:after="0"/>
        <w:jc w:val="center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Подпрограммы «Развитие молодежной политики на территории Сланцевского городского поселения»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7"/>
        <w:gridCol w:w="6739"/>
      </w:tblGrid>
      <w:tr w:rsidR="00A56ABD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1130373e324b39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Цель подпрограммы</w:t>
            </w:r>
          </w:p>
        </w:tc>
        <w:tc>
          <w:tcPr>
            <w:tcW w:w="673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1e413d3e323d3e3942353a4142"/>
              <w:spacing w:after="0"/>
              <w:jc w:val="both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Развитие сферы молодежной политики на территории Сланцевского городского поселени</w:t>
            </w:r>
            <w:r>
              <w:rPr>
                <w:sz w:val="20"/>
                <w:szCs w:val="20"/>
                <w:lang w:bidi="ar-SA"/>
              </w:rPr>
              <w:t>я.</w:t>
            </w:r>
          </w:p>
        </w:tc>
      </w:tr>
      <w:tr w:rsidR="00A56ABD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left w:val="single" w:sz="8" w:space="0" w:color="000080"/>
              <w:bottom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Основные задачи подпрограммы</w:t>
            </w:r>
          </w:p>
        </w:tc>
        <w:tc>
          <w:tcPr>
            <w:tcW w:w="6739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Вовлечение молодежи в общественную деятельность;</w:t>
            </w:r>
          </w:p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Обеспечение эффективной социализации молодежи, находящейся в трудной жизненной ситуации;</w:t>
            </w:r>
          </w:p>
          <w:p w:rsidR="00A56ABD" w:rsidRDefault="00543EFD">
            <w:pPr>
              <w:pStyle w:val="1e413d3e323d3e3942353a4142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механизмов формирования целостной системы продвижения инициативной и </w:t>
            </w:r>
            <w:r>
              <w:rPr>
                <w:color w:val="000000"/>
                <w:sz w:val="20"/>
                <w:szCs w:val="20"/>
              </w:rPr>
              <w:t>талантливой молодежи;</w:t>
            </w:r>
          </w:p>
          <w:p w:rsidR="00A56ABD" w:rsidRDefault="00543EFD">
            <w:pPr>
              <w:pStyle w:val="1e413d3e323d3e3942353a4142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эффективного взаимодействия с молодежными общественными объединениями, некоммерческими организациями.</w:t>
            </w:r>
          </w:p>
        </w:tc>
      </w:tr>
      <w:tr w:rsidR="00A56ABD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left w:val="single" w:sz="8" w:space="0" w:color="000080"/>
              <w:bottom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Объем финансовых ресурсов, запланированных по подпрограмме, с указанием источников финансирования</w:t>
            </w:r>
          </w:p>
        </w:tc>
        <w:tc>
          <w:tcPr>
            <w:tcW w:w="6739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lang w:bidi="ar-SA"/>
              </w:rPr>
              <w:t>Общий объем финансир</w:t>
            </w:r>
            <w:r>
              <w:rPr>
                <w:lang w:bidi="ar-SA"/>
              </w:rPr>
              <w:t>ования -  2948,1 тыс. руб., в том числе:</w:t>
            </w:r>
          </w:p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2017 год — 932,7 тыс. руб.,</w:t>
            </w:r>
          </w:p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2018 год — 982,2 тыс. руб.,</w:t>
            </w:r>
          </w:p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lang w:bidi="ar-SA"/>
              </w:rPr>
              <w:t>2019 год — 1033,2 тыс. руб.</w:t>
            </w:r>
          </w:p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Бюджет Сланцевского городского поселения.</w:t>
            </w:r>
          </w:p>
        </w:tc>
      </w:tr>
      <w:tr w:rsidR="00A56ABD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left w:val="single" w:sz="8" w:space="0" w:color="000080"/>
              <w:bottom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Показатели: социальная эффективность</w:t>
            </w:r>
          </w:p>
        </w:tc>
        <w:tc>
          <w:tcPr>
            <w:tcW w:w="6739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- повышение эффективности условий для раскрытия лич</w:t>
            </w:r>
            <w:r>
              <w:rPr>
                <w:color w:val="000000"/>
                <w:sz w:val="20"/>
                <w:szCs w:val="20"/>
                <w:lang w:bidi="ar-SA"/>
              </w:rPr>
              <w:t>ностного потенциала молодых людей;</w:t>
            </w:r>
          </w:p>
          <w:p w:rsidR="00A56ABD" w:rsidRDefault="00543EFD">
            <w:pPr>
              <w:pStyle w:val="Textbody"/>
              <w:spacing w:after="0"/>
              <w:ind w:left="2" w:right="2" w:hanging="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повышение социальной активности молодежи;</w:t>
            </w:r>
          </w:p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- увеличение количества молодежи, охваченной организованными формами летней занятости.</w:t>
            </w:r>
          </w:p>
        </w:tc>
      </w:tr>
      <w:tr w:rsidR="00A56ABD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left w:val="single" w:sz="8" w:space="0" w:color="000080"/>
              <w:bottom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Целевые индикаторы и показатели реализации подпрограммы</w:t>
            </w:r>
          </w:p>
        </w:tc>
        <w:tc>
          <w:tcPr>
            <w:tcW w:w="6739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Доля подростков и  молодежи от 14</w:t>
            </w:r>
            <w:r>
              <w:rPr>
                <w:color w:val="000000"/>
                <w:sz w:val="20"/>
                <w:szCs w:val="20"/>
                <w:lang w:bidi="ar-SA"/>
              </w:rPr>
              <w:t xml:space="preserve"> до 30 лет, занимающихся в молодежных клубах, центрах и других досуговых учреждениях от  общего числа молодежи  поселения,%</w:t>
            </w:r>
          </w:p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Количество посещений молодежных мероприятий, чел.</w:t>
            </w:r>
          </w:p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Количество детей, подростков, охваченных организованными формами досуга и занятост</w:t>
            </w:r>
            <w:r>
              <w:rPr>
                <w:color w:val="000000"/>
                <w:sz w:val="20"/>
                <w:szCs w:val="20"/>
                <w:lang w:bidi="ar-SA"/>
              </w:rPr>
              <w:t>и в летний период, чел.</w:t>
            </w:r>
          </w:p>
        </w:tc>
      </w:tr>
      <w:tr w:rsidR="00A56ABD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left w:val="single" w:sz="8" w:space="0" w:color="000080"/>
              <w:bottom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Основания для разработки подпрограммы</w:t>
            </w:r>
          </w:p>
        </w:tc>
        <w:tc>
          <w:tcPr>
            <w:tcW w:w="6739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 администрации Сланцевского муниципального района от  «О разработке муниципальной программы «Развитие культуры, спорта и молодежной политики на территории Сланцевского городского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оселения на 2017 — 2019 годы», заключение экспертного совета.</w:t>
            </w:r>
          </w:p>
        </w:tc>
      </w:tr>
      <w:tr w:rsidR="00A56ABD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left w:val="single" w:sz="8" w:space="0" w:color="000080"/>
              <w:bottom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Разработчик подпрограммы</w:t>
            </w:r>
          </w:p>
        </w:tc>
        <w:tc>
          <w:tcPr>
            <w:tcW w:w="6739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Комитет по культуре, спорту и молодежной политике администрации Сланцевского муниципального района</w:t>
            </w:r>
          </w:p>
        </w:tc>
      </w:tr>
      <w:tr w:rsidR="00A56ABD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left w:val="single" w:sz="8" w:space="0" w:color="000080"/>
              <w:bottom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Сроки разработки подпрограммы</w:t>
            </w:r>
          </w:p>
        </w:tc>
        <w:tc>
          <w:tcPr>
            <w:tcW w:w="6739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Сетябрь - октябрь 2016 года</w:t>
            </w:r>
          </w:p>
        </w:tc>
      </w:tr>
      <w:tr w:rsidR="00A56ABD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left w:val="single" w:sz="8" w:space="0" w:color="000080"/>
              <w:bottom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Стоимость</w:t>
            </w:r>
            <w:r>
              <w:rPr>
                <w:color w:val="000000"/>
                <w:sz w:val="20"/>
                <w:szCs w:val="20"/>
                <w:lang w:bidi="ar-SA"/>
              </w:rPr>
              <w:t xml:space="preserve"> разработки подпрограммы (тыс. рублей)</w:t>
            </w:r>
          </w:p>
        </w:tc>
        <w:tc>
          <w:tcPr>
            <w:tcW w:w="6739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Не предусмотрено</w:t>
            </w:r>
          </w:p>
        </w:tc>
      </w:tr>
      <w:tr w:rsidR="00A56ABD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left w:val="single" w:sz="8" w:space="0" w:color="000080"/>
              <w:bottom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Сроки реализации подпрограммы</w:t>
            </w:r>
          </w:p>
        </w:tc>
        <w:tc>
          <w:tcPr>
            <w:tcW w:w="6739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2017-2019 годы</w:t>
            </w:r>
          </w:p>
        </w:tc>
      </w:tr>
      <w:tr w:rsidR="00A56ABD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left w:val="single" w:sz="8" w:space="0" w:color="000080"/>
              <w:bottom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Ответственный исполнитель подпрограммы</w:t>
            </w:r>
          </w:p>
        </w:tc>
        <w:tc>
          <w:tcPr>
            <w:tcW w:w="6739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Комитет по культуре, спорту и молодежной политике администрации Сланцевского муниципального района</w:t>
            </w:r>
          </w:p>
        </w:tc>
      </w:tr>
      <w:tr w:rsidR="00A56ABD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left w:val="single" w:sz="8" w:space="0" w:color="000080"/>
              <w:bottom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 xml:space="preserve">Соисполнители </w:t>
            </w:r>
            <w:r>
              <w:rPr>
                <w:color w:val="000000"/>
                <w:sz w:val="20"/>
                <w:szCs w:val="20"/>
                <w:lang w:bidi="ar-SA"/>
              </w:rPr>
              <w:t>подпрограммы</w:t>
            </w:r>
          </w:p>
        </w:tc>
        <w:tc>
          <w:tcPr>
            <w:tcW w:w="6739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Муниципальное казенное учреждение культуры «Городской Дом культуры»; муниципальное казенное учреждение культуры «Сланцевская центральная городская библиотека»; муниципальное казенное учреждение культуры «Парк культуры и отдыха»; общественные м</w:t>
            </w:r>
            <w:r>
              <w:rPr>
                <w:color w:val="000000"/>
                <w:sz w:val="20"/>
                <w:szCs w:val="20"/>
                <w:lang w:bidi="ar-SA"/>
              </w:rPr>
              <w:t>олодежные объединения</w:t>
            </w:r>
          </w:p>
        </w:tc>
      </w:tr>
      <w:tr w:rsidR="00A56ABD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left w:val="single" w:sz="8" w:space="0" w:color="000080"/>
              <w:bottom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Участники подпрограммы</w:t>
            </w:r>
          </w:p>
        </w:tc>
        <w:tc>
          <w:tcPr>
            <w:tcW w:w="6739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Государственное  казенное учреждение Ленинградской области «Сланцевский центр занятости населения»</w:t>
            </w:r>
          </w:p>
        </w:tc>
      </w:tr>
      <w:tr w:rsidR="00A56ABD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left w:val="single" w:sz="8" w:space="0" w:color="000080"/>
              <w:bottom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Фамилия, имя, отчество, должность, телефон руководителя подпрограммы</w:t>
            </w:r>
          </w:p>
        </w:tc>
        <w:tc>
          <w:tcPr>
            <w:tcW w:w="6739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Шипова Светлана Алексеевна, инспектор</w:t>
            </w:r>
            <w:r>
              <w:rPr>
                <w:color w:val="000000"/>
                <w:sz w:val="20"/>
                <w:szCs w:val="20"/>
                <w:lang w:bidi="ar-SA"/>
              </w:rPr>
              <w:t xml:space="preserve"> комитета по культуре, спорту и молодежной политике администрации Сланцевского муниципального района, 8(81374) 2-23-31</w:t>
            </w:r>
          </w:p>
        </w:tc>
      </w:tr>
      <w:tr w:rsidR="00A56ABD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left w:val="single" w:sz="8" w:space="0" w:color="000080"/>
              <w:bottom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Система управления и контроль за выполнением подпрограммы</w:t>
            </w:r>
          </w:p>
        </w:tc>
        <w:tc>
          <w:tcPr>
            <w:tcW w:w="6739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6ABD" w:rsidRDefault="00543EFD">
            <w:pPr>
              <w:pStyle w:val="213e34354036383c3e354230313b38464b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Контроль за осуществлением Подпрограммы осуществляют Бесчастная В.М., заместит</w:t>
            </w:r>
            <w:r>
              <w:rPr>
                <w:color w:val="000000"/>
                <w:sz w:val="20"/>
                <w:szCs w:val="20"/>
                <w:lang w:bidi="ar-SA"/>
              </w:rPr>
              <w:t>ель председателя комитета по культуре, спорту и молодежной политике администрации Сланцевского муниципального района</w:t>
            </w:r>
          </w:p>
        </w:tc>
      </w:tr>
    </w:tbl>
    <w:p w:rsidR="00A56ABD" w:rsidRDefault="00A56ABD">
      <w:pPr>
        <w:pStyle w:val="1e413d3e323d3e3942353a4142"/>
        <w:spacing w:after="0"/>
        <w:jc w:val="both"/>
        <w:rPr>
          <w:b/>
          <w:sz w:val="20"/>
          <w:szCs w:val="20"/>
          <w:lang w:bidi="ar-SA"/>
        </w:rPr>
      </w:pPr>
    </w:p>
    <w:p w:rsidR="00A56ABD" w:rsidRDefault="00543EFD">
      <w:pPr>
        <w:pStyle w:val="1e413d3e323d3e3942353a4142"/>
        <w:spacing w:after="0"/>
        <w:jc w:val="center"/>
        <w:rPr>
          <w:b/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>1. Общая характеристика, основные проблемы и прогноз развития молодежной политики</w:t>
      </w:r>
    </w:p>
    <w:p w:rsidR="00A56ABD" w:rsidRDefault="00543EFD">
      <w:pPr>
        <w:pStyle w:val="1e413d3e323d3e3942353a4142"/>
        <w:spacing w:after="0"/>
        <w:ind w:firstLine="225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Молодежь является стратегическим ресурсом развития любо</w:t>
      </w:r>
      <w:r>
        <w:rPr>
          <w:sz w:val="20"/>
          <w:szCs w:val="20"/>
          <w:lang w:bidi="ar-SA"/>
        </w:rPr>
        <w:t>го общества. Успешное социально-экономическое развитие Сланцевского городского поселения во многом будет определяться тем, насколько молодежь: знает и принимает цели и задачи развития поселения, связывает с ним свои жизненные перспективы; обладает необходи</w:t>
      </w:r>
      <w:r>
        <w:rPr>
          <w:sz w:val="20"/>
          <w:szCs w:val="20"/>
          <w:lang w:bidi="ar-SA"/>
        </w:rPr>
        <w:t>мыми физическими, интеллектуальными и нравственными качествами; имеет необходимые возможности для участия в общественно-политической и культурной жизни.</w:t>
      </w:r>
    </w:p>
    <w:p w:rsidR="00A56ABD" w:rsidRDefault="00543EFD">
      <w:pPr>
        <w:pStyle w:val="1e413d3e323d3e3942353a4142"/>
        <w:spacing w:after="0"/>
        <w:ind w:firstLine="846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Работа в сфере молодежной политики строится в соответствии с существующей в поселении системой </w:t>
      </w:r>
      <w:r>
        <w:rPr>
          <w:sz w:val="20"/>
          <w:szCs w:val="20"/>
          <w:lang w:bidi="ar-SA"/>
        </w:rPr>
        <w:lastRenderedPageBreak/>
        <w:t xml:space="preserve">организации досуга, занятости, оздоровления и информационного обеспечения детей и молодежи в возрасте от 14 до 30 лет, которая направлена на создание условий и возможностей для успешной социализации и эффективной самореализации молодежи, более эффективном </w:t>
      </w:r>
      <w:r>
        <w:rPr>
          <w:sz w:val="20"/>
          <w:szCs w:val="20"/>
          <w:lang w:bidi="ar-SA"/>
        </w:rPr>
        <w:t>информационном оповещении этой категории о местах досуга, занятости, об общественной жизни города.</w:t>
      </w:r>
    </w:p>
    <w:p w:rsidR="00A56ABD" w:rsidRDefault="00543EFD">
      <w:pPr>
        <w:pStyle w:val="1e413d3e323d3e3942353a4142"/>
        <w:spacing w:after="0"/>
        <w:ind w:firstLine="846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Работу в сфере молодежной политики осуществляют 3 муниципальных учреждения культуры, а также 5 клубов по интересам по месту жительства. Также в учреждениях к</w:t>
      </w:r>
      <w:r>
        <w:rPr>
          <w:sz w:val="20"/>
          <w:szCs w:val="20"/>
          <w:lang w:bidi="ar-SA"/>
        </w:rPr>
        <w:t>ультуры созданы структурные подразделения, ориентированные на работу с молодежью:</w:t>
      </w:r>
    </w:p>
    <w:p w:rsidR="00A56ABD" w:rsidRDefault="00543EFD">
      <w:pPr>
        <w:pStyle w:val="1e413d3e323d3e3942353a4142"/>
        <w:spacing w:after="0"/>
        <w:ind w:firstLine="846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в Городском Доме культуры – сектор молодежных инициатив, цель которого – обучение молодежи социальному проектированию и продвижение молодежных проектов в жизнь,</w:t>
      </w:r>
    </w:p>
    <w:p w:rsidR="00A56ABD" w:rsidRDefault="00543EFD">
      <w:pPr>
        <w:pStyle w:val="1e413d3e323d3e3942353a4142"/>
        <w:spacing w:after="0"/>
        <w:ind w:firstLine="846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в Парке культ</w:t>
      </w:r>
      <w:r>
        <w:rPr>
          <w:sz w:val="20"/>
          <w:szCs w:val="20"/>
          <w:lang w:bidi="ar-SA"/>
        </w:rPr>
        <w:t>уры и отдыха – отдел по работе с клубами по интересам, цель которого – организация досуга и занятости детей и молодежи по месту жительства,</w:t>
      </w:r>
    </w:p>
    <w:p w:rsidR="00A56ABD" w:rsidRDefault="00543EFD">
      <w:pPr>
        <w:pStyle w:val="1e413d3e323d3e3942353a4142"/>
        <w:spacing w:after="0"/>
        <w:ind w:firstLine="846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в библиотеке – молодежный библиотечный центр «МОСТ», цель которого – информационная поддержка молодежи города.</w:t>
      </w:r>
    </w:p>
    <w:p w:rsidR="00A56ABD" w:rsidRDefault="00543EFD">
      <w:pPr>
        <w:pStyle w:val="1e413d3e323d3e3942353a4142"/>
        <w:spacing w:after="0"/>
        <w:ind w:firstLine="846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Основ</w:t>
      </w:r>
      <w:r>
        <w:rPr>
          <w:sz w:val="20"/>
          <w:szCs w:val="20"/>
          <w:lang w:bidi="ar-SA"/>
        </w:rPr>
        <w:t>ной проблемой в реализации данной подпрограммы является сокращение количества молодежи в Сланцевском городском поселении в связи с общей демографической тенденцией и отток молодежи в возрасте от 18 до 30 лет из поселения в связи с обучением и трудоустройст</w:t>
      </w:r>
      <w:r>
        <w:rPr>
          <w:sz w:val="20"/>
          <w:szCs w:val="20"/>
          <w:lang w:bidi="ar-SA"/>
        </w:rPr>
        <w:t>вом в таком крупном мегаполисе как Санкт-Петербург.</w:t>
      </w:r>
    </w:p>
    <w:p w:rsidR="00A56ABD" w:rsidRDefault="00543EFD">
      <w:pPr>
        <w:pStyle w:val="1130373e324b39"/>
        <w:ind w:firstLine="567"/>
        <w:jc w:val="center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Прогноз развития молодежной политики Сланцевского городского поселения</w:t>
      </w:r>
    </w:p>
    <w:p w:rsidR="00A56ABD" w:rsidRDefault="00543EF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Реализация подпрограммы к 2019 году позволит создать дополнительные условия для самореализации молодежи и привлечь её к участию в </w:t>
      </w:r>
      <w:r>
        <w:rPr>
          <w:rFonts w:ascii="Times New Roman" w:hAnsi="Times New Roman" w:cs="Times New Roman"/>
          <w:lang w:bidi="ar-SA"/>
        </w:rPr>
        <w:t>проводимых мероприятиях путем внедрения новых форм досуга.</w:t>
      </w:r>
    </w:p>
    <w:p w:rsidR="00A56ABD" w:rsidRDefault="00543EFD">
      <w:pPr>
        <w:pStyle w:val="ConsPlusNormal"/>
        <w:ind w:firstLine="540"/>
        <w:jc w:val="both"/>
        <w:rPr>
          <w:lang w:bidi="ar-SA"/>
        </w:rPr>
      </w:pPr>
      <w:r>
        <w:rPr>
          <w:lang w:bidi="ar-SA"/>
        </w:rPr>
        <w:t> </w:t>
      </w:r>
    </w:p>
    <w:p w:rsidR="00A56ABD" w:rsidRDefault="00543EFD">
      <w:pPr>
        <w:pStyle w:val="1e413d3e323d3e3942353a4142"/>
        <w:spacing w:after="0"/>
        <w:jc w:val="center"/>
        <w:rPr>
          <w:b/>
          <w:bCs/>
          <w:sz w:val="20"/>
          <w:szCs w:val="20"/>
          <w:lang w:bidi="ar-SA"/>
        </w:rPr>
      </w:pPr>
      <w:r>
        <w:rPr>
          <w:b/>
          <w:bCs/>
          <w:sz w:val="20"/>
          <w:szCs w:val="20"/>
          <w:lang w:bidi="ar-SA"/>
        </w:rPr>
        <w:t>2. Приоритеты в сфере молодежной политики</w:t>
      </w:r>
    </w:p>
    <w:p w:rsidR="00A56ABD" w:rsidRDefault="00A56ABD">
      <w:pPr>
        <w:pStyle w:val="1e413d3e323d3e3942353a4142"/>
        <w:spacing w:after="0"/>
        <w:jc w:val="center"/>
        <w:rPr>
          <w:b/>
          <w:bCs/>
          <w:sz w:val="20"/>
          <w:szCs w:val="20"/>
          <w:lang w:bidi="ar-SA"/>
        </w:rPr>
      </w:pPr>
    </w:p>
    <w:p w:rsidR="00A56ABD" w:rsidRDefault="00543EFD">
      <w:pPr>
        <w:pStyle w:val="1e413d3e323d3e3942353a4142"/>
        <w:spacing w:after="0"/>
        <w:ind w:firstLine="833"/>
        <w:jc w:val="both"/>
      </w:pPr>
      <w:r>
        <w:rPr>
          <w:color w:val="000000"/>
          <w:sz w:val="20"/>
          <w:szCs w:val="20"/>
        </w:rPr>
        <w:t>Развитие сферы молодежной политики законодательно закреплено в составе приоритетных направлений Программы комплексного социально-экономического развития</w:t>
      </w:r>
      <w:r>
        <w:rPr>
          <w:color w:val="000000"/>
          <w:sz w:val="20"/>
          <w:szCs w:val="20"/>
        </w:rPr>
        <w:t xml:space="preserve"> муниципального образования Сланцевское городское поселение Сланцевского муниципального района Ленинградской области до 2025 года, утвержденной решением совета депутатов муниципального образования Сланцевское городское поселение Сланцевского муниципального</w:t>
      </w:r>
      <w:r>
        <w:rPr>
          <w:color w:val="000000"/>
          <w:sz w:val="20"/>
          <w:szCs w:val="20"/>
        </w:rPr>
        <w:t xml:space="preserve"> района Ленинградской области от 31.05.2016 года № 179-гсд. В рамках программы </w:t>
      </w:r>
      <w:r>
        <w:rPr>
          <w:color w:val="000000"/>
          <w:sz w:val="20"/>
          <w:szCs w:val="20"/>
        </w:rPr>
        <w:t>Приоритет 2.3. «МОЛОДЕЖНАЯ ПОЛИТИКА»</w:t>
      </w:r>
      <w:r>
        <w:rPr>
          <w:color w:val="000000"/>
          <w:sz w:val="20"/>
          <w:szCs w:val="20"/>
        </w:rPr>
        <w:t xml:space="preserve"> включает реализацию следующих задач:</w:t>
      </w:r>
    </w:p>
    <w:p w:rsidR="00A56ABD" w:rsidRDefault="00543EFD">
      <w:pPr>
        <w:pStyle w:val="Standard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Задача 1. Повышение уровня интеграции молодежи в современное общество.</w:t>
      </w:r>
    </w:p>
    <w:p w:rsidR="00A56ABD" w:rsidRDefault="00543EFD">
      <w:pPr>
        <w:pStyle w:val="1e413d3e323d3e3942353a4142"/>
        <w:spacing w:after="0"/>
        <w:jc w:val="both"/>
      </w:pPr>
      <w:r>
        <w:rPr>
          <w:color w:val="000000"/>
          <w:sz w:val="20"/>
          <w:szCs w:val="20"/>
        </w:rPr>
        <w:t>Задача 2. Развитие системы выявл</w:t>
      </w:r>
      <w:r>
        <w:rPr>
          <w:color w:val="000000"/>
          <w:sz w:val="20"/>
          <w:szCs w:val="20"/>
        </w:rPr>
        <w:t>ения и поддержки талантливой молодежи, ее самореализации и использования продуктов ее инновационной деятельности.</w:t>
      </w:r>
    </w:p>
    <w:p w:rsidR="00A56ABD" w:rsidRDefault="00543EFD">
      <w:pPr>
        <w:pStyle w:val="Standard"/>
        <w:spacing w:after="0" w:line="240" w:lineRule="auto"/>
        <w:ind w:firstLine="8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 постановленных задач должно осуществляться с учетом приоритетов государственной политики в сфере молодежной политики, закрепленных в с</w:t>
      </w:r>
      <w:r>
        <w:rPr>
          <w:rFonts w:ascii="Times New Roman" w:hAnsi="Times New Roman"/>
          <w:sz w:val="20"/>
          <w:szCs w:val="20"/>
        </w:rPr>
        <w:t>ледующих документах:</w:t>
      </w:r>
    </w:p>
    <w:p w:rsidR="00A56ABD" w:rsidRDefault="00543EFD">
      <w:pPr>
        <w:pStyle w:val="Standard"/>
        <w:widowControl w:val="0"/>
        <w:autoSpaceDE w:val="0"/>
        <w:spacing w:after="0" w:line="240" w:lineRule="auto"/>
        <w:ind w:firstLine="873"/>
        <w:jc w:val="both"/>
      </w:pPr>
      <w:r>
        <w:rPr>
          <w:rStyle w:val="CharStyle6"/>
          <w:sz w:val="20"/>
          <w:szCs w:val="20"/>
        </w:rPr>
        <w:t>Основы государственной молодежной политики Российской Федерации до 2025 года, утвержденные Распоряжением Правительства Российской Федерации от 29.11.2014 года N 2403-р,</w:t>
      </w:r>
    </w:p>
    <w:p w:rsidR="00A56ABD" w:rsidRDefault="00543EFD">
      <w:pPr>
        <w:pStyle w:val="Standard"/>
        <w:widowControl w:val="0"/>
        <w:autoSpaceDE w:val="0"/>
        <w:spacing w:after="0" w:line="240" w:lineRule="auto"/>
        <w:ind w:firstLine="873"/>
        <w:jc w:val="both"/>
      </w:pPr>
      <w:r>
        <w:rPr>
          <w:rStyle w:val="CharStyle6"/>
          <w:sz w:val="20"/>
          <w:szCs w:val="20"/>
          <w:lang w:eastAsia="ru-RU"/>
        </w:rPr>
        <w:t xml:space="preserve">Областной закон «О государственной молодежной политике в </w:t>
      </w:r>
      <w:r>
        <w:rPr>
          <w:rStyle w:val="CharStyle6"/>
          <w:sz w:val="20"/>
          <w:szCs w:val="20"/>
          <w:lang w:eastAsia="ru-RU"/>
        </w:rPr>
        <w:t>Ленинградской области» от 13 декабря 2011 г. № 105-ОЗ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</w:p>
    <w:p w:rsidR="00A56ABD" w:rsidRDefault="00543EFD">
      <w:pPr>
        <w:pStyle w:val="Standard"/>
        <w:widowControl w:val="0"/>
        <w:autoSpaceDE w:val="0"/>
        <w:spacing w:after="0" w:line="240" w:lineRule="auto"/>
        <w:ind w:firstLine="873"/>
        <w:jc w:val="both"/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Областной закон «О патриотическом воспитании в Ленинградской области» от 13.11.2015 г. №115-ОЗ,</w:t>
      </w:r>
    </w:p>
    <w:p w:rsidR="00A56ABD" w:rsidRDefault="00543EFD">
      <w:pPr>
        <w:pStyle w:val="Standard"/>
        <w:widowControl w:val="0"/>
        <w:autoSpaceDE w:val="0"/>
        <w:spacing w:after="0" w:line="240" w:lineRule="auto"/>
        <w:ind w:firstLine="873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Нормативные правовые акты Губернатора и Правительства Ленинградской области в сфере молодежной политики.</w:t>
      </w:r>
    </w:p>
    <w:p w:rsidR="00A56ABD" w:rsidRDefault="00543EFD">
      <w:pPr>
        <w:pStyle w:val="Standard"/>
        <w:widowControl w:val="0"/>
        <w:autoSpaceDE w:val="0"/>
        <w:spacing w:after="0" w:line="240" w:lineRule="auto"/>
        <w:ind w:firstLine="873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Нормативные правовые акты органов местного самоуправления Сланцевского городского поселения в сфере молодежной политики.</w:t>
      </w:r>
    </w:p>
    <w:p w:rsidR="00A56ABD" w:rsidRDefault="00543EFD">
      <w:pPr>
        <w:pStyle w:val="Standard"/>
        <w:widowControl w:val="0"/>
        <w:autoSpaceDE w:val="0"/>
        <w:spacing w:after="0" w:line="240" w:lineRule="auto"/>
        <w:ind w:firstLine="8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Таким образом, в число приоритетов реализации Подпрограммы включаются:</w:t>
      </w:r>
    </w:p>
    <w:p w:rsidR="00A56ABD" w:rsidRDefault="00543EFD">
      <w:pPr>
        <w:pStyle w:val="213e34354036383c3e354230313b38464b"/>
        <w:ind w:firstLine="821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вовлечение молодежи в общественную деятельность;</w:t>
      </w:r>
    </w:p>
    <w:p w:rsidR="00A56ABD" w:rsidRDefault="00543EFD">
      <w:pPr>
        <w:pStyle w:val="213e34354036383c3e354230313b38464b"/>
        <w:ind w:firstLine="821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обеспечение эфф</w:t>
      </w:r>
      <w:r>
        <w:rPr>
          <w:color w:val="000000"/>
          <w:sz w:val="20"/>
          <w:szCs w:val="20"/>
          <w:lang w:bidi="ar-SA"/>
        </w:rPr>
        <w:t>ективной социализации молодежи, находящейся в трудной жизненной ситуации;</w:t>
      </w:r>
    </w:p>
    <w:p w:rsidR="00A56ABD" w:rsidRDefault="00543EFD">
      <w:pPr>
        <w:pStyle w:val="1e413d3e323d3e3942353a4142"/>
        <w:spacing w:after="0"/>
        <w:ind w:firstLine="8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создание механизмов формирования целостной системы продвижения инициативной и талантливой молодежи;</w:t>
      </w:r>
    </w:p>
    <w:p w:rsidR="00A56ABD" w:rsidRDefault="00543EFD">
      <w:pPr>
        <w:pStyle w:val="1e413d3e323d3e3942353a4142"/>
        <w:spacing w:after="0"/>
        <w:ind w:firstLine="8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обеспечение эффективного взаимодействия с молодежными общественными объединениями,</w:t>
      </w:r>
      <w:r>
        <w:rPr>
          <w:color w:val="000000"/>
          <w:sz w:val="20"/>
          <w:szCs w:val="20"/>
        </w:rPr>
        <w:t xml:space="preserve"> некоммерческими организациями.</w:t>
      </w:r>
    </w:p>
    <w:p w:rsidR="00A56ABD" w:rsidRDefault="00543EFD">
      <w:pPr>
        <w:pStyle w:val="Standard"/>
        <w:widowControl w:val="0"/>
        <w:autoSpaceDE w:val="0"/>
        <w:spacing w:after="0" w:line="240" w:lineRule="auto"/>
        <w:ind w:firstLine="8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повышение социальной активности молодежи;</w:t>
      </w:r>
    </w:p>
    <w:p w:rsidR="00A56ABD" w:rsidRDefault="00543EFD">
      <w:pPr>
        <w:pStyle w:val="Standard"/>
        <w:widowControl w:val="0"/>
        <w:autoSpaceDE w:val="0"/>
        <w:spacing w:after="0" w:line="240" w:lineRule="auto"/>
        <w:ind w:firstLine="8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привлечение к созидательному труду молодых людей, оказавшихся в трудной жизненной ситуации.</w:t>
      </w:r>
    </w:p>
    <w:p w:rsidR="00A56ABD" w:rsidRDefault="00A56ABD">
      <w:pPr>
        <w:pStyle w:val="Standard"/>
        <w:widowControl w:val="0"/>
        <w:autoSpaceDE w:val="0"/>
        <w:spacing w:after="0" w:line="240" w:lineRule="auto"/>
        <w:ind w:firstLine="854"/>
        <w:jc w:val="both"/>
        <w:rPr>
          <w:rFonts w:ascii="Times New Roman" w:hAnsi="Times New Roman"/>
          <w:sz w:val="20"/>
          <w:szCs w:val="20"/>
        </w:rPr>
      </w:pPr>
    </w:p>
    <w:p w:rsidR="00A56ABD" w:rsidRDefault="00543EFD">
      <w:pPr>
        <w:pStyle w:val="1e413d3e323d3e3942353a4142"/>
        <w:spacing w:after="0"/>
        <w:jc w:val="center"/>
        <w:rPr>
          <w:b/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>3. Цели, задачи, показатели (индикаторы), сроки реализации подпрограммы</w:t>
      </w:r>
    </w:p>
    <w:p w:rsidR="00A56ABD" w:rsidRDefault="00543EFD">
      <w:pPr>
        <w:pStyle w:val="1e413d3e323d3e3942353a4142"/>
        <w:spacing w:after="0"/>
        <w:ind w:firstLine="833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 </w:t>
      </w:r>
    </w:p>
    <w:p w:rsidR="00A56ABD" w:rsidRDefault="00543EF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Главной целью н</w:t>
      </w:r>
      <w:r>
        <w:rPr>
          <w:rFonts w:ascii="Times New Roman" w:hAnsi="Times New Roman"/>
          <w:sz w:val="20"/>
          <w:szCs w:val="20"/>
        </w:rPr>
        <w:t>астоящей Подпрограммы является развитие сферы молодежной политики на территории Сланцевского городского поселения.</w:t>
      </w:r>
    </w:p>
    <w:p w:rsidR="00A56ABD" w:rsidRDefault="00543EFD">
      <w:pPr>
        <w:pStyle w:val="a6"/>
        <w:spacing w:before="0"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Главными задачами молодежной политики Сланцевского городского поселения являются:</w:t>
      </w:r>
    </w:p>
    <w:p w:rsidR="00A56ABD" w:rsidRDefault="00543EFD">
      <w:pPr>
        <w:pStyle w:val="213e34354036383c3e354230313b38464b"/>
        <w:ind w:firstLine="859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вовлечение молодежи в общественную деятельность;</w:t>
      </w:r>
    </w:p>
    <w:p w:rsidR="00A56ABD" w:rsidRDefault="00543EFD">
      <w:pPr>
        <w:pStyle w:val="213e34354036383c3e354230313b38464b"/>
        <w:ind w:firstLine="859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обеспечение эффективной социализации молодежи, находящейся в трудной жизненной ситуации;</w:t>
      </w:r>
    </w:p>
    <w:p w:rsidR="00A56ABD" w:rsidRDefault="00543EFD">
      <w:pPr>
        <w:pStyle w:val="1e413d3e323d3e3942353a4142"/>
        <w:spacing w:after="0"/>
        <w:ind w:firstLine="85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создание механизмов формирования целостной системы продвижения инициативной и талантливой молодежи;</w:t>
      </w:r>
    </w:p>
    <w:p w:rsidR="00A56ABD" w:rsidRDefault="00543EFD">
      <w:pPr>
        <w:pStyle w:val="1e413d3e323d3e3942353a4142"/>
        <w:spacing w:after="0"/>
        <w:ind w:firstLine="85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обеспечение эффективного взаимодействия с молодежными общественными</w:t>
      </w:r>
      <w:r>
        <w:rPr>
          <w:color w:val="000000"/>
          <w:sz w:val="20"/>
          <w:szCs w:val="20"/>
        </w:rPr>
        <w:t xml:space="preserve"> объединениями, некоммерческими организациями.</w:t>
      </w:r>
    </w:p>
    <w:p w:rsidR="00A56ABD" w:rsidRDefault="00543EFD">
      <w:pPr>
        <w:pStyle w:val="a6"/>
        <w:spacing w:before="0" w:after="0" w:line="240" w:lineRule="auto"/>
        <w:ind w:firstLine="73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Реализация данных задач осуществляется в рамках следующих основных мероприятий:</w:t>
      </w:r>
    </w:p>
    <w:p w:rsidR="00A56ABD" w:rsidRDefault="00543EFD">
      <w:pPr>
        <w:pStyle w:val="a6"/>
        <w:spacing w:before="0" w:after="0" w:line="240" w:lineRule="auto"/>
        <w:ind w:firstLine="731"/>
        <w:jc w:val="both"/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- основное мероприятие «</w:t>
      </w:r>
      <w:r>
        <w:rPr>
          <w:rFonts w:ascii="Times New Roman" w:hAnsi="Times New Roman"/>
          <w:sz w:val="20"/>
          <w:szCs w:val="20"/>
        </w:rPr>
        <w:t>Реализация комплекса мер по созданию условий для успешной социализации и эффективной самореализации молод</w:t>
      </w:r>
      <w:r>
        <w:rPr>
          <w:rFonts w:ascii="Times New Roman" w:hAnsi="Times New Roman"/>
          <w:sz w:val="20"/>
          <w:szCs w:val="20"/>
        </w:rPr>
        <w:t>ежи»;</w:t>
      </w:r>
    </w:p>
    <w:p w:rsidR="00A56ABD" w:rsidRDefault="00543EFD">
      <w:pPr>
        <w:pStyle w:val="a6"/>
        <w:spacing w:before="0" w:after="0" w:line="240" w:lineRule="auto"/>
        <w:ind w:firstLine="731"/>
        <w:jc w:val="both"/>
      </w:pPr>
      <w:r>
        <w:rPr>
          <w:rFonts w:ascii="Times New Roman" w:hAnsi="Times New Roman"/>
          <w:color w:val="000000"/>
          <w:sz w:val="20"/>
          <w:szCs w:val="20"/>
        </w:rPr>
        <w:t>- основное мероприятие «Реализация комплекса мер по созданию условий для социализации детей в каникулярный период</w:t>
      </w:r>
      <w:r>
        <w:rPr>
          <w:rFonts w:ascii="Times New Roman" w:hAnsi="Times New Roman"/>
          <w:sz w:val="20"/>
          <w:szCs w:val="20"/>
        </w:rPr>
        <w:t>».</w:t>
      </w:r>
    </w:p>
    <w:p w:rsidR="00A56ABD" w:rsidRDefault="00543EFD">
      <w:pPr>
        <w:pStyle w:val="Standard"/>
        <w:spacing w:after="0" w:line="240" w:lineRule="auto"/>
        <w:ind w:firstLine="73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Состав показателей (индикаторов) Подпрограммы увязан с основными мероприятиями и позволяет оценить ожидаемые результаты и </w:t>
      </w:r>
      <w:r>
        <w:rPr>
          <w:rFonts w:ascii="Times New Roman" w:hAnsi="Times New Roman"/>
          <w:sz w:val="20"/>
          <w:szCs w:val="20"/>
        </w:rPr>
        <w:t>эффективность ее реализации на период до 2019 года включительно.</w:t>
      </w:r>
    </w:p>
    <w:p w:rsidR="00A56ABD" w:rsidRDefault="00543EFD">
      <w:pPr>
        <w:pStyle w:val="Standard"/>
        <w:spacing w:after="0" w:line="240" w:lineRule="auto"/>
        <w:ind w:firstLine="731"/>
        <w:jc w:val="both"/>
      </w:pPr>
      <w:r>
        <w:rPr>
          <w:rFonts w:ascii="Times New Roman" w:hAnsi="Times New Roman"/>
          <w:sz w:val="20"/>
          <w:szCs w:val="20"/>
        </w:rPr>
        <w:t xml:space="preserve">Основное мероприятие </w:t>
      </w:r>
      <w:r>
        <w:rPr>
          <w:rFonts w:ascii="Times New Roman" w:hAnsi="Times New Roman"/>
          <w:color w:val="000000"/>
          <w:sz w:val="20"/>
          <w:szCs w:val="20"/>
        </w:rPr>
        <w:t>«Реализация комплекса мер по созданию условий для успешной социализации и эффективной самореализации молодежи</w:t>
      </w:r>
      <w:r>
        <w:rPr>
          <w:rFonts w:ascii="Times New Roman" w:hAnsi="Times New Roman"/>
          <w:sz w:val="20"/>
          <w:szCs w:val="20"/>
        </w:rPr>
        <w:t>». Показателями мероприятия являются:</w:t>
      </w:r>
    </w:p>
    <w:p w:rsidR="00A56ABD" w:rsidRDefault="00543EFD">
      <w:pPr>
        <w:pStyle w:val="1e413d3e323d3e3942353a4142"/>
        <w:spacing w:after="0"/>
        <w:ind w:firstLine="833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Показатель «доля подрос</w:t>
      </w:r>
      <w:r>
        <w:rPr>
          <w:sz w:val="20"/>
          <w:szCs w:val="20"/>
          <w:lang w:bidi="ar-SA"/>
        </w:rPr>
        <w:t>тков и молодежи от 14 до 30 лет, занимающихся в молодежных клубах, центрах и других досуговых учреждениях в общем числе молодежи поселения%» позволяет определить востребованность молодежных клубов, центров и других досуговых учреждений. Планируется достичь</w:t>
      </w:r>
      <w:r>
        <w:rPr>
          <w:sz w:val="20"/>
          <w:szCs w:val="20"/>
          <w:lang w:bidi="ar-SA"/>
        </w:rPr>
        <w:t xml:space="preserve"> не менее 13 % от общей численности молодежи Сланцевского городского поселения.</w:t>
      </w:r>
    </w:p>
    <w:p w:rsidR="00A56ABD" w:rsidRDefault="00543EFD">
      <w:pPr>
        <w:pStyle w:val="1e413d3e323d3e3942353a4142"/>
        <w:spacing w:after="0"/>
        <w:ind w:firstLine="833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Показатель «количество посещений молодежных мероприятий, чел.» позволяет выявить интерес к проводимым мероприятиям и новым формам досуга. Планируется ежегодно увеличивать колич</w:t>
      </w:r>
      <w:r>
        <w:rPr>
          <w:sz w:val="20"/>
          <w:szCs w:val="20"/>
          <w:lang w:bidi="ar-SA"/>
        </w:rPr>
        <w:t>ество посещений.</w:t>
      </w:r>
    </w:p>
    <w:p w:rsidR="00A56ABD" w:rsidRDefault="00543EFD">
      <w:pPr>
        <w:pStyle w:val="1e413d3e323d3e3942353a4142"/>
        <w:spacing w:after="0"/>
        <w:ind w:firstLine="833"/>
        <w:jc w:val="both"/>
      </w:pPr>
      <w:r>
        <w:rPr>
          <w:color w:val="000000"/>
          <w:sz w:val="20"/>
          <w:szCs w:val="20"/>
          <w:lang w:bidi="ar-SA"/>
        </w:rPr>
        <w:t>Основное мероприятие «Реализация комплекса мер по созданию условий для социализации детей в каникулярный период</w:t>
      </w:r>
      <w:r>
        <w:rPr>
          <w:sz w:val="20"/>
          <w:szCs w:val="20"/>
          <w:lang w:bidi="ar-SA"/>
        </w:rPr>
        <w:t>». Показателем мероприятия является показатель «количество детей, охваченных организованными формами досуга и занятости в летний</w:t>
      </w:r>
      <w:r>
        <w:rPr>
          <w:sz w:val="20"/>
          <w:szCs w:val="20"/>
          <w:lang w:bidi="ar-SA"/>
        </w:rPr>
        <w:t xml:space="preserve"> период успешной социализации детей и подростков», который позволяет оценить созданные условия. Планируется охват организованными формами досуга и занятости в летний период не менее </w:t>
      </w:r>
      <w:r>
        <w:rPr>
          <w:color w:val="000000"/>
          <w:sz w:val="20"/>
          <w:szCs w:val="20"/>
          <w:lang w:bidi="ar-SA"/>
        </w:rPr>
        <w:t>30</w:t>
      </w:r>
      <w:r>
        <w:rPr>
          <w:sz w:val="20"/>
          <w:szCs w:val="20"/>
          <w:lang w:bidi="ar-SA"/>
        </w:rPr>
        <w:t xml:space="preserve"> человек.</w:t>
      </w:r>
    </w:p>
    <w:p w:rsidR="00A56ABD" w:rsidRDefault="00543EFD">
      <w:pPr>
        <w:pStyle w:val="1e413d3e323d3e3942353a4142"/>
        <w:spacing w:after="0"/>
        <w:ind w:firstLine="833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Подпрограмма  реализуется  в  1 этап  с 1 января 2017 года по </w:t>
      </w:r>
      <w:r>
        <w:rPr>
          <w:sz w:val="20"/>
          <w:szCs w:val="20"/>
          <w:lang w:bidi="ar-SA"/>
        </w:rPr>
        <w:t>31 декабря 2019 года.</w:t>
      </w:r>
    </w:p>
    <w:p w:rsidR="00A56ABD" w:rsidRDefault="00543EFD">
      <w:pPr>
        <w:pStyle w:val="1e413d3e323d3e3942353a4142"/>
        <w:spacing w:after="0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   </w:t>
      </w:r>
    </w:p>
    <w:p w:rsidR="00A56ABD" w:rsidRDefault="00543EFD">
      <w:pPr>
        <w:pStyle w:val="1e413d3e323d3e3942353a4142"/>
        <w:spacing w:after="0"/>
        <w:jc w:val="center"/>
      </w:pPr>
      <w:r>
        <w:rPr>
          <w:b/>
          <w:bCs/>
          <w:sz w:val="20"/>
          <w:szCs w:val="20"/>
          <w:lang w:bidi="ar-SA"/>
        </w:rPr>
        <w:t xml:space="preserve">4. </w:t>
      </w:r>
      <w:r>
        <w:rPr>
          <w:b/>
          <w:sz w:val="20"/>
          <w:szCs w:val="20"/>
          <w:lang w:bidi="ar-SA"/>
        </w:rPr>
        <w:t>Характеристика основных мероприятий подпрограммы.</w:t>
      </w:r>
    </w:p>
    <w:p w:rsidR="00A56ABD" w:rsidRDefault="00543EFD">
      <w:pPr>
        <w:pStyle w:val="1e413d3e323d3e3942353a4142"/>
        <w:spacing w:after="0"/>
        <w:ind w:firstLine="846"/>
        <w:jc w:val="both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В рамках реализации данной Подпрограммы выделяются 2 основных мероприятия:</w:t>
      </w:r>
    </w:p>
    <w:p w:rsidR="00A56ABD" w:rsidRDefault="00543EFD">
      <w:pPr>
        <w:pStyle w:val="1e413d3e323d3e3942353a4142"/>
        <w:spacing w:after="0"/>
        <w:ind w:firstLine="846"/>
        <w:jc w:val="both"/>
      </w:pPr>
      <w:r>
        <w:rPr>
          <w:sz w:val="20"/>
          <w:szCs w:val="20"/>
          <w:lang w:bidi="ar-SA"/>
        </w:rPr>
        <w:t>1.</w:t>
      </w:r>
      <w:r>
        <w:rPr>
          <w:b/>
          <w:bCs/>
          <w:sz w:val="20"/>
          <w:szCs w:val="20"/>
          <w:lang w:bidi="ar-SA"/>
        </w:rPr>
        <w:t xml:space="preserve"> Реализация комплекса мер по созданию условий для успешной социализации и эффективной самореализации молодежи.</w:t>
      </w:r>
    </w:p>
    <w:p w:rsidR="00A56ABD" w:rsidRDefault="00543EFD">
      <w:pPr>
        <w:pStyle w:val="Textbody"/>
        <w:tabs>
          <w:tab w:val="left" w:pos="835"/>
        </w:tabs>
        <w:spacing w:after="0" w:line="240" w:lineRule="auto"/>
        <w:ind w:firstLine="8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рамках данного мероприятия планируется организация мероприятий, направленных на вовлечение молодежи в общественную жизнь города, повышение граж</w:t>
      </w:r>
      <w:r>
        <w:rPr>
          <w:rFonts w:ascii="Times New Roman" w:hAnsi="Times New Roman"/>
          <w:sz w:val="20"/>
          <w:szCs w:val="20"/>
        </w:rPr>
        <w:t>данской активности молодежи, выявление и поддержка талантливой молодежи, поддержка общественных детских и молодежных объединений, волонтерского движения.</w:t>
      </w:r>
    </w:p>
    <w:p w:rsidR="00A56ABD" w:rsidRDefault="00543EFD">
      <w:pPr>
        <w:pStyle w:val="Textbody"/>
        <w:tabs>
          <w:tab w:val="left" w:pos="835"/>
        </w:tabs>
        <w:spacing w:after="0" w:line="240" w:lineRule="auto"/>
        <w:ind w:firstLine="835"/>
        <w:jc w:val="both"/>
      </w:pPr>
      <w:r>
        <w:rPr>
          <w:rFonts w:ascii="Times New Roman" w:hAnsi="Times New Roman"/>
          <w:sz w:val="20"/>
          <w:szCs w:val="20"/>
        </w:rPr>
        <w:t>В этих целях планируется проведение обучающих мероприятий: семинаров, форумов, конференций, круглых ст</w:t>
      </w:r>
      <w:r>
        <w:rPr>
          <w:rFonts w:ascii="Times New Roman" w:hAnsi="Times New Roman"/>
          <w:sz w:val="20"/>
          <w:szCs w:val="20"/>
        </w:rPr>
        <w:t>олов, тренингов, школ актива и т. п. Для выявления и поддержки гражданского и творческого потенциала молодежи планируется организация мероприятий различной направленности: конкурсов социальных проектов, социальной рекламы и др., фестивалей «Я-молодой!», «М</w:t>
      </w:r>
      <w:r>
        <w:rPr>
          <w:rFonts w:ascii="Times New Roman" w:hAnsi="Times New Roman"/>
          <w:sz w:val="20"/>
          <w:szCs w:val="20"/>
        </w:rPr>
        <w:t>олодая гитара» и др. Планируется поддержка деятельности общественных молодежных объединений</w:t>
      </w:r>
      <w:r>
        <w:rPr>
          <w:rFonts w:ascii="Times New Roman" w:hAnsi="Times New Roman"/>
          <w:color w:val="000000"/>
          <w:sz w:val="20"/>
          <w:szCs w:val="20"/>
        </w:rPr>
        <w:t>, волонтерского движения</w:t>
      </w:r>
      <w:r>
        <w:rPr>
          <w:rFonts w:ascii="Times New Roman" w:hAnsi="Times New Roman"/>
          <w:sz w:val="20"/>
          <w:szCs w:val="20"/>
        </w:rPr>
        <w:t>, в рамках которого проводятся различные молодежные акции (флешмобы, буккроссинги и т. п.). Планируется поддержка инициатив молодежи по прове</w:t>
      </w:r>
      <w:r>
        <w:rPr>
          <w:rFonts w:ascii="Times New Roman" w:hAnsi="Times New Roman"/>
          <w:sz w:val="20"/>
          <w:szCs w:val="20"/>
        </w:rPr>
        <w:t>дению различных значимых мероприятий, таких как спортивно-патриотическая игра «Победа», участие в молодежных районных мероприятиях (в районном спортивно-туристском слете и др.), молодежные проекты социальной направленности.</w:t>
      </w:r>
    </w:p>
    <w:p w:rsidR="00A56ABD" w:rsidRDefault="00543EFD">
      <w:pPr>
        <w:pStyle w:val="Textbody"/>
        <w:tabs>
          <w:tab w:val="left" w:pos="835"/>
        </w:tabs>
        <w:spacing w:after="0" w:line="240" w:lineRule="auto"/>
        <w:ind w:firstLine="835"/>
        <w:jc w:val="both"/>
        <w:rPr>
          <w:rFonts w:ascii="Times New Roman" w:hAnsi="Times New Roman"/>
          <w:color w:val="000000"/>
          <w:spacing w:val="-11"/>
          <w:sz w:val="20"/>
          <w:szCs w:val="20"/>
        </w:rPr>
      </w:pPr>
      <w:r>
        <w:rPr>
          <w:rFonts w:ascii="Times New Roman" w:hAnsi="Times New Roman"/>
          <w:color w:val="000000"/>
          <w:spacing w:val="-11"/>
          <w:sz w:val="20"/>
          <w:szCs w:val="20"/>
        </w:rPr>
        <w:t>При проведении конкурсных отборо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>в социальных проектов могут выделяться денежные средства (гранты) на реализацию наиболее значимых социальных проектов авторам таких проектов (грантополучателям). В случае, если грантополучателями являются участники клубов и объединений муниципальных учрежд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>ений культуры Сланцевского городского поселения, средства на реализацию проектов направляются в муниципальное учреждение культуры без внесения изменений в муниципальную программу путем перераспределения ассигнований при внесении изменений в бюджетную роспи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>сь при уточнении бюджета Сланцевского городского поселения. В случае, если грантополучателями являются общественные объединения, социально-ориентированные некоммерческие организации, физические лица, гранты выделяются на основании Договора о предоставлении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денежных средств (гранта), форма которого утверждается муниципальным нормативно-правовым актом.</w:t>
      </w:r>
    </w:p>
    <w:p w:rsidR="00A56ABD" w:rsidRDefault="00543EFD">
      <w:pPr>
        <w:pStyle w:val="1e413d3e323d3e3942353a4142"/>
        <w:spacing w:after="0"/>
        <w:ind w:firstLine="846"/>
        <w:jc w:val="both"/>
      </w:pPr>
      <w:r>
        <w:rPr>
          <w:b/>
          <w:bCs/>
          <w:sz w:val="20"/>
          <w:szCs w:val="20"/>
          <w:lang w:bidi="ar-SA"/>
        </w:rPr>
        <w:t>2.</w:t>
      </w:r>
      <w:r>
        <w:rPr>
          <w:sz w:val="20"/>
          <w:szCs w:val="20"/>
          <w:lang w:bidi="ar-SA"/>
        </w:rPr>
        <w:t xml:space="preserve"> </w:t>
      </w:r>
      <w:r>
        <w:rPr>
          <w:b/>
          <w:bCs/>
          <w:sz w:val="20"/>
          <w:szCs w:val="20"/>
          <w:lang w:bidi="ar-SA"/>
        </w:rPr>
        <w:t>Реализация комплекса мер по созданию условий для социализации детей в каникулярный период.</w:t>
      </w:r>
    </w:p>
    <w:p w:rsidR="00A56ABD" w:rsidRDefault="00543EFD">
      <w:pPr>
        <w:pStyle w:val="1e413d3e323d3e3942353a4142"/>
        <w:spacing w:after="0"/>
        <w:ind w:firstLine="846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В рамках данного основного мероприятия планируется создание време</w:t>
      </w:r>
      <w:r>
        <w:rPr>
          <w:sz w:val="20"/>
          <w:szCs w:val="20"/>
          <w:lang w:bidi="ar-SA"/>
        </w:rPr>
        <w:t>нных рабочих мест для подростков  и формирование молодежных трудовых отрядов в летний период на базе муниципальных учреждений культуры.</w:t>
      </w:r>
    </w:p>
    <w:p w:rsidR="00A56ABD" w:rsidRDefault="00A56ABD">
      <w:pPr>
        <w:pStyle w:val="1e413d3e323d3e3942353a4142"/>
        <w:spacing w:after="0"/>
        <w:ind w:firstLine="846"/>
        <w:jc w:val="both"/>
        <w:rPr>
          <w:sz w:val="20"/>
          <w:szCs w:val="20"/>
          <w:lang w:bidi="ar-SA"/>
        </w:rPr>
      </w:pPr>
    </w:p>
    <w:p w:rsidR="00A56ABD" w:rsidRDefault="00543EFD">
      <w:pPr>
        <w:pStyle w:val="1e413d3e323d3e3942353a4142"/>
        <w:spacing w:after="0"/>
        <w:ind w:firstLine="846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Благодаря реализации Подпрограммы планируется создание эффективных механизмов взаимодействия между органами, реализующи</w:t>
      </w:r>
      <w:r>
        <w:rPr>
          <w:sz w:val="20"/>
          <w:szCs w:val="20"/>
          <w:lang w:bidi="ar-SA"/>
        </w:rPr>
        <w:t xml:space="preserve">ми молодежную политику на территории Сланцевского городского поселения и молодежью, а также молодежными общественными организациями и объединениями, с целью постепенного качественного изменения отношения к реализации молодежной политики с учетом пожеланий </w:t>
      </w:r>
      <w:r>
        <w:rPr>
          <w:sz w:val="20"/>
          <w:szCs w:val="20"/>
          <w:lang w:bidi="ar-SA"/>
        </w:rPr>
        <w:t>и предложений молодежи, а также вовлечение большего количества молодых людей к участию в мероприятиях, проводимых в рамках реализации государственной молодежной политики на территории Сланцевского городского поселения. Внедрение новых форм молодежного досу</w:t>
      </w:r>
      <w:r>
        <w:rPr>
          <w:sz w:val="20"/>
          <w:szCs w:val="20"/>
          <w:lang w:bidi="ar-SA"/>
        </w:rPr>
        <w:t>га, на основе опыта других муниципальных образований регионов России с целью разнообразить досуг молодежи и вовлечь большее  количество молодых людей, в новые и интересные для них формы мероприятий. Таким образом основным результатом реализации Подпрограмм</w:t>
      </w:r>
      <w:r>
        <w:rPr>
          <w:sz w:val="20"/>
          <w:szCs w:val="20"/>
          <w:lang w:bidi="ar-SA"/>
        </w:rPr>
        <w:t>ы станут:</w:t>
      </w:r>
    </w:p>
    <w:p w:rsidR="00A56ABD" w:rsidRDefault="00543EFD">
      <w:pPr>
        <w:pStyle w:val="1e413d3e323d3e3942353a4142"/>
        <w:spacing w:after="0"/>
        <w:ind w:firstLine="846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1. Появление эффективных механизмов включения молодежи в процессы социально-экономического, общественно-политического и культурного развития города.</w:t>
      </w:r>
    </w:p>
    <w:p w:rsidR="00A56ABD" w:rsidRDefault="00543EFD">
      <w:pPr>
        <w:pStyle w:val="1e413d3e323d3e3942353a4142"/>
        <w:spacing w:after="0"/>
        <w:ind w:firstLine="846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2. Увеличение числа реализуемых молодежных социальных проектов, направленных на развитие города.</w:t>
      </w:r>
    </w:p>
    <w:p w:rsidR="00A56ABD" w:rsidRDefault="00543EFD">
      <w:pPr>
        <w:pStyle w:val="1e413d3e323d3e3942353a4142"/>
        <w:spacing w:after="0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 </w:t>
      </w:r>
    </w:p>
    <w:p w:rsidR="00A56ABD" w:rsidRDefault="00A56ABD">
      <w:pPr>
        <w:pStyle w:val="Standard"/>
        <w:shd w:val="clear" w:color="auto" w:fill="FFFFFF"/>
        <w:spacing w:after="0" w:line="240" w:lineRule="auto"/>
        <w:ind w:firstLine="731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56ABD" w:rsidRDefault="00543EFD">
      <w:pPr>
        <w:pStyle w:val="Standard"/>
        <w:shd w:val="clear" w:color="auto" w:fill="FFFFFF"/>
        <w:spacing w:after="0" w:line="240" w:lineRule="auto"/>
        <w:ind w:firstLine="731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5. Информация о ресурсном обеспечении подпрограммы.</w:t>
      </w:r>
    </w:p>
    <w:p w:rsidR="00A56ABD" w:rsidRDefault="00A56ABD">
      <w:pPr>
        <w:pStyle w:val="Standard"/>
        <w:shd w:val="clear" w:color="auto" w:fill="FFFFFF"/>
        <w:spacing w:after="0" w:line="240" w:lineRule="auto"/>
        <w:ind w:firstLine="731"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A56ABD" w:rsidRDefault="00543EFD">
      <w:pPr>
        <w:pStyle w:val="1e413d3e323d3e3942353a4142"/>
        <w:spacing w:after="0"/>
        <w:ind w:firstLine="859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lastRenderedPageBreak/>
        <w:t>Подпрограмма реализуется за счет средств бюджета Сланцевского городского поселения.</w:t>
      </w:r>
    </w:p>
    <w:p w:rsidR="00A56ABD" w:rsidRDefault="00543EFD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>Общий объем финансирования -  2948,1</w:t>
      </w:r>
      <w:r>
        <w:rPr>
          <w:rFonts w:ascii="Times New Roman" w:hAnsi="Times New Roman"/>
          <w:color w:val="000000"/>
          <w:sz w:val="20"/>
          <w:szCs w:val="20"/>
        </w:rPr>
        <w:t xml:space="preserve"> тыс. руб., в том числе:</w:t>
      </w:r>
    </w:p>
    <w:p w:rsidR="00A56ABD" w:rsidRDefault="00543EFD">
      <w:pPr>
        <w:pStyle w:val="213e34354036383c3e354230313b38464b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2017 год — 932,7 тыс. руб.,</w:t>
      </w:r>
    </w:p>
    <w:p w:rsidR="00A56ABD" w:rsidRDefault="00543EFD">
      <w:pPr>
        <w:pStyle w:val="213e34354036383c3e354230313b38464b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2018 год — 982,2 тыс. руб.,</w:t>
      </w:r>
    </w:p>
    <w:p w:rsidR="00A56ABD" w:rsidRDefault="00543EFD">
      <w:pPr>
        <w:pStyle w:val="Standard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</w:rPr>
        <w:t>2019 год — 1033,2 тыс. руб.</w:t>
      </w:r>
    </w:p>
    <w:p w:rsidR="00A56ABD" w:rsidRDefault="00543EFD">
      <w:pPr>
        <w:pStyle w:val="213e34354036383c3e354230313b38464b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Бюджет Сланцевского городского поселения.</w:t>
      </w:r>
    </w:p>
    <w:p w:rsidR="00A56ABD" w:rsidRDefault="00543EFD">
      <w:pPr>
        <w:pStyle w:val="1e413d3e323d3e3942353a4142"/>
        <w:spacing w:after="0"/>
        <w:ind w:firstLine="859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В рамках исполнения данной подпрограммы не исключена возможность привлечения внебюджетных источников фина</w:t>
      </w:r>
      <w:r>
        <w:rPr>
          <w:sz w:val="20"/>
          <w:szCs w:val="20"/>
          <w:lang w:bidi="ar-SA"/>
        </w:rPr>
        <w:t>нсирования на реализацию отдельных пунктов данной подпрограммы.</w:t>
      </w:r>
    </w:p>
    <w:p w:rsidR="00A56ABD" w:rsidRDefault="00543EFD">
      <w:pPr>
        <w:pStyle w:val="1e413d3e323d3e3942353a4142"/>
        <w:spacing w:after="0"/>
        <w:ind w:firstLine="859"/>
        <w:jc w:val="both"/>
      </w:pPr>
      <w:r>
        <w:rPr>
          <w:color w:val="000000"/>
          <w:sz w:val="20"/>
          <w:szCs w:val="20"/>
          <w:lang w:bidi="ar-SA"/>
        </w:rPr>
        <w:t>Подп</w:t>
      </w:r>
      <w:r>
        <w:rPr>
          <w:sz w:val="20"/>
          <w:szCs w:val="20"/>
          <w:lang w:bidi="ar-SA"/>
        </w:rPr>
        <w:t>рограмма предполагает активное участие в её реализации со стороны муниципальных учреждений культуры и Сланцевского центра занятости, а также возможность участия в её реализации общественны</w:t>
      </w:r>
      <w:r>
        <w:rPr>
          <w:sz w:val="20"/>
          <w:szCs w:val="20"/>
          <w:lang w:bidi="ar-SA"/>
        </w:rPr>
        <w:t>х объединений, некоммерческих организаций. </w:t>
      </w:r>
    </w:p>
    <w:p w:rsidR="00A56ABD" w:rsidRDefault="00A56ABD">
      <w:pPr>
        <w:pStyle w:val="1e413d3e323d3e3942353a4142"/>
        <w:spacing w:after="0"/>
        <w:ind w:firstLine="859"/>
        <w:jc w:val="both"/>
        <w:rPr>
          <w:sz w:val="20"/>
          <w:szCs w:val="20"/>
        </w:rPr>
      </w:pPr>
    </w:p>
    <w:p w:rsidR="00A56ABD" w:rsidRDefault="00543EFD">
      <w:pPr>
        <w:pStyle w:val="1e413d3e323d3e3942353a4142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Методика расчета эффективности реализации подпрограммы.</w:t>
      </w:r>
    </w:p>
    <w:p w:rsidR="00A56ABD" w:rsidRDefault="00A56ABD">
      <w:pPr>
        <w:pStyle w:val="1e413d3e323d3e3942353a4142"/>
        <w:spacing w:after="0"/>
        <w:jc w:val="center"/>
        <w:rPr>
          <w:b/>
          <w:bCs/>
          <w:sz w:val="20"/>
          <w:szCs w:val="20"/>
        </w:rPr>
      </w:pPr>
    </w:p>
    <w:p w:rsidR="00A56ABD" w:rsidRDefault="00543EFD">
      <w:pPr>
        <w:pStyle w:val="Standard"/>
        <w:spacing w:after="0" w:line="2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 эффективности реализации подпрограммы производится на основе анализа:</w:t>
      </w:r>
    </w:p>
    <w:p w:rsidR="00A56ABD" w:rsidRDefault="00543EFD">
      <w:pPr>
        <w:pStyle w:val="Standard"/>
        <w:spacing w:after="0" w:line="2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степени достижения целей и решения задач подпрограммы путем </w:t>
      </w:r>
      <w:r>
        <w:rPr>
          <w:rFonts w:ascii="Times New Roman" w:hAnsi="Times New Roman"/>
          <w:sz w:val="20"/>
          <w:szCs w:val="20"/>
        </w:rPr>
        <w:t>сопоставления фактически достигнутых значений индикаторов подпрограммы и их плановых значений в соответствии с приложением к подпрограмме;</w:t>
      </w:r>
    </w:p>
    <w:p w:rsidR="00A56ABD" w:rsidRDefault="00543EFD">
      <w:pPr>
        <w:pStyle w:val="Standard"/>
        <w:spacing w:after="0" w:line="2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степени реализации мероприятий подпрограммы на основе сопоставления ожидаемых и фактически полученных результатов п</w:t>
      </w:r>
      <w:r>
        <w:rPr>
          <w:rFonts w:ascii="Times New Roman" w:hAnsi="Times New Roman"/>
          <w:sz w:val="20"/>
          <w:szCs w:val="20"/>
        </w:rPr>
        <w:t>о годам на основе ежегодных планов реализации подпрограммы.</w:t>
      </w:r>
    </w:p>
    <w:p w:rsidR="00A56ABD" w:rsidRDefault="00543EFD">
      <w:pPr>
        <w:pStyle w:val="Standard"/>
        <w:spacing w:after="0" w:line="2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Степень достижения целей и решения задач подпрограммы (Сд) определяется по формуле:</w:t>
      </w:r>
    </w:p>
    <w:p w:rsidR="00A56ABD" w:rsidRDefault="00543EFD">
      <w:pPr>
        <w:pStyle w:val="Standard"/>
        <w:spacing w:after="0" w:line="200" w:lineRule="atLeast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Сд = Зф / Зп x 100%,</w:t>
      </w:r>
    </w:p>
    <w:p w:rsidR="00A56ABD" w:rsidRDefault="00543EFD">
      <w:pPr>
        <w:pStyle w:val="Standard"/>
        <w:spacing w:after="0" w:line="2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где:</w:t>
      </w:r>
    </w:p>
    <w:p w:rsidR="00A56ABD" w:rsidRDefault="00543EFD">
      <w:pPr>
        <w:pStyle w:val="Standard"/>
        <w:spacing w:after="0" w:line="2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Зф - фактическое значение индикатора (показателя)  подпрограммы;</w:t>
      </w:r>
    </w:p>
    <w:p w:rsidR="00A56ABD" w:rsidRDefault="00543EFD">
      <w:pPr>
        <w:pStyle w:val="Standard"/>
        <w:spacing w:after="0" w:line="2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Зп - плановое </w:t>
      </w:r>
      <w:r>
        <w:rPr>
          <w:rFonts w:ascii="Times New Roman" w:hAnsi="Times New Roman"/>
          <w:sz w:val="20"/>
          <w:szCs w:val="20"/>
        </w:rPr>
        <w:t>значение индикатора (показателя)  подпрограммы.</w:t>
      </w:r>
    </w:p>
    <w:p w:rsidR="00A56ABD" w:rsidRDefault="00543EFD">
      <w:pPr>
        <w:pStyle w:val="Standard"/>
        <w:spacing w:after="0" w:line="2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целях оценки эффективности реализации подпрограммы применяются следующие параметры:</w:t>
      </w:r>
    </w:p>
    <w:p w:rsidR="00A56ABD" w:rsidRDefault="00543EFD">
      <w:pPr>
        <w:pStyle w:val="Standard"/>
        <w:spacing w:after="0" w:line="2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высокий уровень эффективности:</w:t>
      </w:r>
    </w:p>
    <w:p w:rsidR="00A56ABD" w:rsidRDefault="00543EFD">
      <w:pPr>
        <w:pStyle w:val="Standard"/>
        <w:spacing w:after="0" w:line="2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достигнуты значения 95 процентов и более показателей подпрограммы;</w:t>
      </w:r>
    </w:p>
    <w:p w:rsidR="00A56ABD" w:rsidRDefault="00543EFD">
      <w:pPr>
        <w:pStyle w:val="Standard"/>
        <w:spacing w:after="0" w:line="2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не менее 95 проц.</w:t>
      </w:r>
      <w:r>
        <w:rPr>
          <w:rFonts w:ascii="Times New Roman" w:hAnsi="Times New Roman"/>
          <w:sz w:val="20"/>
          <w:szCs w:val="20"/>
        </w:rPr>
        <w:t xml:space="preserve"> мероприятий, запланированных на отчетный год, выполнены в полном объеме;</w:t>
      </w:r>
    </w:p>
    <w:p w:rsidR="00A56ABD" w:rsidRDefault="00543EFD">
      <w:pPr>
        <w:pStyle w:val="Standard"/>
        <w:spacing w:after="0" w:line="2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удовлетворительный уровень эффективности:</w:t>
      </w:r>
    </w:p>
    <w:p w:rsidR="00A56ABD" w:rsidRDefault="00543EFD">
      <w:pPr>
        <w:pStyle w:val="Standard"/>
        <w:spacing w:after="0" w:line="2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достигнуты значения 80 проц. и более показателей подпрограммы;</w:t>
      </w:r>
    </w:p>
    <w:p w:rsidR="00A56ABD" w:rsidRDefault="00543EFD">
      <w:pPr>
        <w:pStyle w:val="Standard"/>
        <w:spacing w:after="0" w:line="2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не менее 80 проц. мероприятий, запланированных на отчетный год, выполн</w:t>
      </w:r>
      <w:r>
        <w:rPr>
          <w:rFonts w:ascii="Times New Roman" w:hAnsi="Times New Roman"/>
          <w:sz w:val="20"/>
          <w:szCs w:val="20"/>
        </w:rPr>
        <w:t>ены в полном объеме;</w:t>
      </w:r>
    </w:p>
    <w:p w:rsidR="00A56ABD" w:rsidRDefault="00543EFD">
      <w:pPr>
        <w:pStyle w:val="Standard"/>
        <w:spacing w:after="0" w:line="20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неудовлетворительный уровень эффективности:</w:t>
      </w:r>
    </w:p>
    <w:p w:rsidR="00A56ABD" w:rsidRDefault="00543EFD">
      <w:pPr>
        <w:pStyle w:val="Standard"/>
        <w:tabs>
          <w:tab w:val="right" w:pos="8595"/>
        </w:tabs>
        <w:spacing w:after="0" w:line="200" w:lineRule="atLeast"/>
        <w:ind w:firstLine="709"/>
        <w:jc w:val="both"/>
      </w:pPr>
      <w:r>
        <w:rPr>
          <w:rStyle w:val="CharStyle6"/>
          <w:sz w:val="20"/>
          <w:szCs w:val="20"/>
        </w:rPr>
        <w:t>реализация подпрограммы  не отвечает критериям, указанным в пунктах 1 и 2.</w:t>
      </w:r>
    </w:p>
    <w:p w:rsidR="00A56ABD" w:rsidRDefault="00A56ABD">
      <w:pPr>
        <w:pStyle w:val="Standard"/>
        <w:tabs>
          <w:tab w:val="right" w:pos="8595"/>
        </w:tabs>
        <w:spacing w:after="0" w:line="200" w:lineRule="atLeast"/>
        <w:ind w:firstLine="709"/>
        <w:jc w:val="both"/>
      </w:pPr>
    </w:p>
    <w:sectPr w:rsidR="00A56ABD">
      <w:pgSz w:w="11906" w:h="16838"/>
      <w:pgMar w:top="850" w:right="850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FD" w:rsidRDefault="00543EFD">
      <w:r>
        <w:separator/>
      </w:r>
    </w:p>
  </w:endnote>
  <w:endnote w:type="continuationSeparator" w:id="0">
    <w:p w:rsidR="00543EFD" w:rsidRDefault="0054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FD" w:rsidRDefault="00543EFD">
      <w:r>
        <w:rPr>
          <w:color w:val="000000"/>
        </w:rPr>
        <w:ptab w:relativeTo="margin" w:alignment="center" w:leader="none"/>
      </w:r>
    </w:p>
  </w:footnote>
  <w:footnote w:type="continuationSeparator" w:id="0">
    <w:p w:rsidR="00543EFD" w:rsidRDefault="0054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56ABD"/>
    <w:rsid w:val="00407FA9"/>
    <w:rsid w:val="00543EFD"/>
    <w:rsid w:val="00A5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9B389-8E42-42AF-BC72-7BE95927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  <w:rPr>
      <w:rFonts w:cs="Mangal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10">
    <w:name w:val="Указатель1"/>
    <w:basedOn w:val="Standard"/>
    <w:pPr>
      <w:suppressLineNumbers/>
    </w:pPr>
    <w:rPr>
      <w:rFonts w:cs="Mangal"/>
    </w:rPr>
  </w:style>
  <w:style w:type="paragraph" w:customStyle="1" w:styleId="1130373e324b39">
    <w:name w:val="Б11а30з37о3eв32ы4bй39"/>
    <w:pPr>
      <w:suppressAutoHyphens/>
      <w:autoSpaceDE w:val="0"/>
    </w:pPr>
    <w:rPr>
      <w:rFonts w:eastAsia="Times New Roman" w:cs="Times New Roman"/>
    </w:rPr>
  </w:style>
  <w:style w:type="paragraph" w:customStyle="1" w:styleId="1730333e3b3e323e3a">
    <w:name w:val="З17а30г33о3eл3bо3eв32о3eк3a"/>
    <w:basedOn w:val="1130373e324b39"/>
    <w:next w:val="1e413d3e323d3e3942353a41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730333e3b3e323e3a1">
    <w:name w:val="З17а30г33о3eл3bо3eв32о3eк3a 1"/>
    <w:basedOn w:val="1730333e3b3e323e3a"/>
    <w:next w:val="1e413d3e323d3e3942353a4142"/>
    <w:rPr>
      <w:b/>
      <w:bCs/>
      <w:sz w:val="32"/>
      <w:szCs w:val="32"/>
    </w:rPr>
  </w:style>
  <w:style w:type="paragraph" w:customStyle="1" w:styleId="1730333e3b3e323e3a2">
    <w:name w:val="З17а30г33о3eл3bо3eв32о3eк3a 2"/>
    <w:basedOn w:val="1730333e3b3e323e3a"/>
    <w:next w:val="1e413d3e323d3e3942353a4142"/>
    <w:rPr>
      <w:b/>
      <w:bCs/>
      <w:i/>
      <w:iCs/>
    </w:rPr>
  </w:style>
  <w:style w:type="paragraph" w:customStyle="1" w:styleId="1730333e3b3e323e3a3">
    <w:name w:val="З17а30г33о3eл3bо3eв32о3eк3a 3"/>
    <w:basedOn w:val="1730333e3b3e323e3a"/>
    <w:next w:val="1e413d3e323d3e3942353a4142"/>
    <w:rPr>
      <w:b/>
      <w:bCs/>
    </w:rPr>
  </w:style>
  <w:style w:type="paragraph" w:customStyle="1" w:styleId="1e413d3e323d3e3942353a4142">
    <w:name w:val="О1eс41н3dо3eв32н3dо3eй39 т42е35к3aс41т42"/>
    <w:basedOn w:val="1130373e324b39"/>
    <w:pPr>
      <w:spacing w:after="120"/>
    </w:pPr>
  </w:style>
  <w:style w:type="paragraph" w:customStyle="1" w:styleId="213f38413e3a">
    <w:name w:val="С21п3fи38с41о3eк3a"/>
    <w:basedOn w:val="1e413d3e323d3e3942353a4142"/>
  </w:style>
  <w:style w:type="paragraph" w:customStyle="1" w:styleId="1d303732303d3835">
    <w:name w:val="Н1dа30з37в32а30н3dи38е35"/>
    <w:basedOn w:val="1130373e324b3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1130373e324b39"/>
    <w:pPr>
      <w:suppressLineNumbers/>
    </w:pPr>
  </w:style>
  <w:style w:type="paragraph" w:customStyle="1" w:styleId="213e34354036383c3e354230313b38464b">
    <w:name w:val="С21о3eд34е35р40ж36и38м3cо3eе35 т42а30б31л3bи38ц46ы4b"/>
    <w:basedOn w:val="1130373e324b39"/>
    <w:pPr>
      <w:suppressLineNumbers/>
    </w:pPr>
  </w:style>
  <w:style w:type="paragraph" w:customStyle="1" w:styleId="1730333e3b3e323e3a4230313b38464b">
    <w:name w:val="З17а30г33о3eл3bо3eв32о3eк3a т42а30б31л3bи38ц46ы4b"/>
    <w:basedOn w:val="213e34354036383c3e354230313b38464b"/>
    <w:pPr>
      <w:jc w:val="center"/>
    </w:pPr>
    <w:rPr>
      <w:b/>
      <w:bCs/>
    </w:rPr>
  </w:style>
  <w:style w:type="paragraph" w:customStyle="1" w:styleId="ConsPlusNormal">
    <w:name w:val="ConsPlusNormal"/>
    <w:pPr>
      <w:widowControl/>
      <w:suppressAutoHyphens/>
      <w:autoSpaceDE w:val="0"/>
    </w:pPr>
    <w:rPr>
      <w:rFonts w:ascii="Arial" w:eastAsia="Times New Roman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Normal (Web)"/>
    <w:basedOn w:val="Standard"/>
    <w:pPr>
      <w:spacing w:before="280" w:after="280"/>
    </w:pPr>
  </w:style>
  <w:style w:type="paragraph" w:customStyle="1" w:styleId="ConsPlusNormal1">
    <w:name w:val="ConsPlusNormal1"/>
    <w:pPr>
      <w:widowControl/>
      <w:suppressAutoHyphens/>
    </w:pPr>
    <w:rPr>
      <w:rFonts w:ascii="Arial" w:eastAsia="Arial" w:hAnsi="Arial" w:cs="Tahoma"/>
      <w:sz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7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11">
    <w:name w:val="Основной шрифт абзаца1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ru-RU" w:bidi="ru-RU"/>
    </w:rPr>
  </w:style>
  <w:style w:type="character" w:customStyle="1" w:styleId="CharStyle6">
    <w:name w:val="CharStyle6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Алёна Викторовна</cp:lastModifiedBy>
  <cp:revision>2</cp:revision>
  <cp:lastPrinted>2017-04-10T15:15:00Z</cp:lastPrinted>
  <dcterms:created xsi:type="dcterms:W3CDTF">2018-05-24T22:08:00Z</dcterms:created>
  <dcterms:modified xsi:type="dcterms:W3CDTF">2018-05-24T22:08:00Z</dcterms:modified>
</cp:coreProperties>
</file>