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D" w:rsidRDefault="00C345D3" w:rsidP="0066083D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C345D3" w:rsidRDefault="00C345D3" w:rsidP="0066083D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</w:t>
      </w:r>
    </w:p>
    <w:p w:rsidR="00C345D3" w:rsidRDefault="00C345D3" w:rsidP="00C345D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C345D3" w:rsidRDefault="00C345D3" w:rsidP="00C345D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02.11.2016 г. № 1683-п</w:t>
      </w:r>
    </w:p>
    <w:p w:rsidR="00C345D3" w:rsidRDefault="00C345D3" w:rsidP="00C345D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редакции постановления администрации</w:t>
      </w:r>
    </w:p>
    <w:p w:rsidR="00C345D3" w:rsidRDefault="00C345D3" w:rsidP="00C345D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C345D3" w:rsidRDefault="00C345D3" w:rsidP="00C345D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</w:p>
    <w:p w:rsidR="00C345D3" w:rsidRDefault="00C345D3" w:rsidP="00C345D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(приложение)</w:t>
      </w:r>
    </w:p>
    <w:p w:rsidR="00C345D3" w:rsidRDefault="00C345D3" w:rsidP="00C345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5D3" w:rsidRDefault="00C345D3" w:rsidP="00C3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5D3" w:rsidRDefault="002F59A5" w:rsidP="00C3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</w:t>
      </w:r>
      <w:r w:rsidR="00A8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2F59A5" w:rsidRPr="002F59A5" w:rsidRDefault="002F59A5" w:rsidP="00C3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молодежной политики на территории </w:t>
      </w:r>
      <w:proofErr w:type="spellStart"/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поселения» муниципальной программы «Развитие культуры, спорта и молодежной политики на территории </w:t>
      </w:r>
      <w:proofErr w:type="spellStart"/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на 2017 – 2019 годы»</w:t>
      </w:r>
    </w:p>
    <w:p w:rsid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«Развитие молодежной политики на территории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</w:t>
      </w:r>
    </w:p>
    <w:tbl>
      <w:tblPr>
        <w:tblW w:w="99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4"/>
        <w:gridCol w:w="7009"/>
      </w:tblGrid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сферы молодежной политики на территории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молодежи в общественную деятельность;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механизмов формирования целостной системы продвижения инициативной и талантливой молодежи;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взаимодействия с молодежными общественными объединениями, некоммерческими организациями.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ресурсов, запланированных по подпрограмме, с указанием источников финансирования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Общий объем финансирования </w:t>
            </w:r>
            <w:r w:rsidR="00FE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3 024,94635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 — </w:t>
            </w:r>
            <w:r w:rsidR="00FE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894,49506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 — 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1 128,4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— 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1 002,1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Показатели: 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бюджетная, экономическая, 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эффективности условий для раскрытия личностного потенциала молодых людей;</w:t>
            </w:r>
          </w:p>
          <w:p w:rsidR="002F59A5" w:rsidRPr="002F59A5" w:rsidRDefault="002F59A5" w:rsidP="002F59A5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социальной активности молодежи;</w:t>
            </w:r>
          </w:p>
          <w:p w:rsidR="002F59A5" w:rsidRPr="002F59A5" w:rsidRDefault="002F59A5" w:rsidP="00C3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молодежи в каникулярный период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реализации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подростков и  молодежи от 14 до 30 лет, занимающихся в молодежных клубах, центрах и других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учреждениях от общего числа молодежи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поселения,%</w:t>
            </w:r>
            <w:proofErr w:type="spellEnd"/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 молодежных мероприятий, чел.</w:t>
            </w:r>
          </w:p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подростков, охваченных организованными формами досуга и занятости в летний период, чел.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разработке муниципальной программы «Развитие культуры, спорта и молодежной политики на территории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на 2017 — 2019 годы», заключение экспертного совета.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культуре, спорту и молодежной политике администрации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разработки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 - октябрь 2016 года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Стоимость разработки подпрограммы (тыс. рублей)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 годы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C345D3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</w:t>
            </w:r>
            <w:r w:rsidR="002F59A5"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культуре, спорту и молодежной политике администрации </w:t>
            </w:r>
            <w:proofErr w:type="spellStart"/>
            <w:r w:rsidR="002F59A5"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="002F59A5"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C345D3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C345D3" w:rsidP="00C3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казенные учреждения культуры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общественные молодежные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 w:rsidR="002F59A5"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казенное учреждение Ленинградской области «</w:t>
            </w:r>
            <w:proofErr w:type="spellStart"/>
            <w:r w:rsidR="002F59A5"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Сланцевский</w:t>
            </w:r>
            <w:proofErr w:type="spellEnd"/>
            <w:r w:rsidR="002F59A5"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 должность, телефон руководителя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C3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Шипова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Алексеевна, инспектор комитета по культуре, спорту и молодежной политике администрации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8(81374) 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2-10-22</w:t>
            </w:r>
          </w:p>
        </w:tc>
      </w:tr>
      <w:tr w:rsidR="002F59A5" w:rsidRPr="002F59A5" w:rsidTr="002F59A5">
        <w:trPr>
          <w:tblCellSpacing w:w="0" w:type="dxa"/>
        </w:trPr>
        <w:tc>
          <w:tcPr>
            <w:tcW w:w="293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и </w:t>
            </w:r>
            <w:proofErr w:type="gram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подпрограммы</w:t>
            </w:r>
          </w:p>
        </w:tc>
        <w:tc>
          <w:tcPr>
            <w:tcW w:w="7009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2F59A5" w:rsidRPr="002F59A5" w:rsidRDefault="002F59A5" w:rsidP="0000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</w:t>
            </w:r>
            <w:r w:rsidR="00FE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влением Подпрограммы осуществляе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00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Лакшина Т.С.</w:t>
            </w:r>
            <w:r w:rsidR="00C3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сектора</w:t>
            </w: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культуре, спорту и молодежной политике администрации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2F59A5" w:rsidRPr="002F59A5" w:rsidRDefault="002F59A5" w:rsidP="002F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характеристика, основные проблемы и прогноз развития молодежной политики</w:t>
      </w:r>
    </w:p>
    <w:p w:rsidR="002F59A5" w:rsidRDefault="002F59A5" w:rsidP="002F59A5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является стратегическим ресурсом развития любого общества. Успешное социально-экономическое развитие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во многом будет определяться тем, насколько молодежь: знает и принимает цели и задачи развития поселения,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сфере молодежной политики строится в соответствии с существующей в поселении системой организации досуга, занятости, оздоровления и информационного обеспечения детей и молодежи в возрасте от 14 до 30 лет, которая направлена на создание условий и возможностей для успешной социализации и эффективной самореализации молодежи, более эффективном информационном оповещении этой категории о местах досуга, занятости, об общественной жизни города.</w:t>
      </w:r>
      <w:proofErr w:type="gramEnd"/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сфере молодежной политики осуществляют 3 муниципальных учреждения культуры, а также 5 клубов по интересам по месту жительства. Также в учреждениях культуры созданы структурные подразделения, ориентированные на работу с молодежью: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Доме культуры – сектор молодежных инициатив, цель которого – обучение молодежи социальному проектированию и продвижение молодежных проектов в жизнь,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культуры и отдыха – отдел по работе с клубами по интересам, цель которого – организация досуга и занятости детей и молодежи по месту жительства,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– молодежный библиотечный центр «МОСТ», цель которого – информационная поддержка молодежи города.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проблемой в реализации данной подпрограммы является сокращение количества молодежи в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Сланцевском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в связи с общей демографической тенденцией и отток молодежи в возрасте от 18 до 30 лет из поселения в связи с обучением и трудоустройством в таком крупном мегаполисе как Санкт-Петербург.</w:t>
      </w:r>
    </w:p>
    <w:p w:rsidR="002F59A5" w:rsidRPr="002F59A5" w:rsidRDefault="002F59A5" w:rsidP="002F5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развития молодежной политики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2F59A5" w:rsidRPr="002F59A5" w:rsidRDefault="002F59A5" w:rsidP="002F59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подпрограммы к 2019 году позволит создать дополнительные условия для самореализации молодежи и привлечь её к участию в проводимых мероприятиях путем внедрения новых форм досуга.</w:t>
      </w:r>
    </w:p>
    <w:p w:rsidR="002F59A5" w:rsidRPr="002F59A5" w:rsidRDefault="002F59A5" w:rsidP="002F59A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Приоритеты в сфере молодежной политики</w:t>
      </w: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сферы молодежной </w:t>
      </w:r>
      <w:proofErr w:type="gram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законодательно закреплено в составе приоритетных направлений Программы комплексного социально-экономического развития муниципального образования</w:t>
      </w:r>
      <w:proofErr w:type="gram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Сланцевское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 до 2025 года, утвержденной решением совета депутатов муниципального образования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Сланцевское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 от 31.05.2016 года № 179-гсд. В рамках программы Приоритет 2.3. «МОЛОДЕЖНАЯ ПОЛИТИКА» включает реализацию следующих задач:</w:t>
      </w:r>
    </w:p>
    <w:p w:rsidR="002F59A5" w:rsidRPr="002F59A5" w:rsidRDefault="002F59A5" w:rsidP="002F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Повышение уровня интеграции молодежи в современное общество.</w:t>
      </w:r>
    </w:p>
    <w:p w:rsidR="002F59A5" w:rsidRPr="002F59A5" w:rsidRDefault="002F59A5" w:rsidP="002F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2. Развитие системы выявления и поддержки талантливой молодежи, ее самореализации и использования продуктов ее инновационной деятельности.</w:t>
      </w:r>
    </w:p>
    <w:p w:rsidR="002F59A5" w:rsidRPr="002F59A5" w:rsidRDefault="002F59A5" w:rsidP="002F59A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постановленных задач должно осуществляться с учетом приоритетов государственной политики в сфере молодежной политики, закрепленных в следующих документах:</w:t>
      </w:r>
    </w:p>
    <w:p w:rsidR="002F59A5" w:rsidRPr="002F59A5" w:rsidRDefault="002F59A5" w:rsidP="002F59A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государственной молодежной политики Российской Федерации до 2025 года, утвержденные Распоряжением Правительства Российской Федерации от 29.11.2014 года N 2403-р,</w:t>
      </w:r>
    </w:p>
    <w:p w:rsidR="002F59A5" w:rsidRPr="002F59A5" w:rsidRDefault="002F59A5" w:rsidP="002F59A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«О государственной молодежной политике в Ленинградской области» от 13 декабря 2011 г. № 105-ОЗ,</w:t>
      </w:r>
    </w:p>
    <w:p w:rsidR="002F59A5" w:rsidRPr="002F59A5" w:rsidRDefault="002F59A5" w:rsidP="002F59A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«О патриотическом воспитании в Ленинградской области» от 13.11.2015 г. №115-ОЗ,</w:t>
      </w:r>
    </w:p>
    <w:p w:rsidR="002F59A5" w:rsidRPr="002F59A5" w:rsidRDefault="002F59A5" w:rsidP="002F59A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Губернатора и Правительства Ленинградской области в сфере молодежной политики.</w:t>
      </w:r>
    </w:p>
    <w:p w:rsidR="002F59A5" w:rsidRPr="002F59A5" w:rsidRDefault="002F59A5" w:rsidP="002F59A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сфере молодежной политики.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число приоритетов реализации Подпрограммы включаются:</w:t>
      </w:r>
    </w:p>
    <w:p w:rsidR="002F59A5" w:rsidRPr="002F59A5" w:rsidRDefault="002F59A5" w:rsidP="002F59A5">
      <w:pPr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 общественную деятельность;</w:t>
      </w:r>
    </w:p>
    <w:p w:rsidR="002F59A5" w:rsidRPr="002F59A5" w:rsidRDefault="002F59A5" w:rsidP="002F59A5">
      <w:pPr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эффективной социализации молодежи, находящейся в трудной жизненной ситуации;</w:t>
      </w:r>
    </w:p>
    <w:p w:rsidR="002F59A5" w:rsidRPr="002F59A5" w:rsidRDefault="002F59A5" w:rsidP="002F59A5">
      <w:pPr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механизмов формирования целостной системы продвижения инициативной и талантливой молодежи;</w:t>
      </w:r>
    </w:p>
    <w:p w:rsidR="002F59A5" w:rsidRPr="002F59A5" w:rsidRDefault="002F59A5" w:rsidP="002F59A5">
      <w:pPr>
        <w:spacing w:after="0" w:line="240" w:lineRule="auto"/>
        <w:ind w:firstLine="8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взаимодействия с молодежными общественными объединениями, некоммерческими организациями.</w:t>
      </w:r>
    </w:p>
    <w:p w:rsidR="002F59A5" w:rsidRPr="002F59A5" w:rsidRDefault="002F59A5" w:rsidP="002F59A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активности молодежи;</w:t>
      </w:r>
    </w:p>
    <w:p w:rsidR="002F59A5" w:rsidRPr="002F59A5" w:rsidRDefault="002F59A5" w:rsidP="002F59A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созидательному труду молодых людей, оказавшихся в трудной жизненной ситуации.</w:t>
      </w:r>
    </w:p>
    <w:p w:rsidR="002F59A5" w:rsidRPr="002F59A5" w:rsidRDefault="002F59A5" w:rsidP="002F59A5">
      <w:pPr>
        <w:spacing w:after="0" w:line="240" w:lineRule="auto"/>
        <w:ind w:firstLine="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Цели, задачи, показатели (индикаторы), сроки реализации подпрограммы</w:t>
      </w:r>
    </w:p>
    <w:p w:rsidR="002F59A5" w:rsidRPr="002F59A5" w:rsidRDefault="002F59A5" w:rsidP="002F59A5">
      <w:pPr>
        <w:spacing w:after="0" w:line="240" w:lineRule="auto"/>
        <w:ind w:firstLine="8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настоящей Подпрограммы является развитие сферы молодежной политики на территории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задачами молодежной политики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являются:</w:t>
      </w: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 общественную деятельность;</w:t>
      </w: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эффективной социализации молодежи, находящейся в трудной жизненной ситуации;</w:t>
      </w: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механизмов формирования целостной системы продвижения инициативной и талантливой молодежи;</w:t>
      </w: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взаимодействия с молодежными общественными объединениями, некоммерческими организациями.</w:t>
      </w:r>
    </w:p>
    <w:p w:rsidR="002F59A5" w:rsidRPr="002F59A5" w:rsidRDefault="002F59A5" w:rsidP="002F59A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данных задач осуществляется в рамках следующих основных мероприятий:</w:t>
      </w:r>
    </w:p>
    <w:p w:rsidR="002F59A5" w:rsidRPr="002F59A5" w:rsidRDefault="002F59A5" w:rsidP="002F59A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мероприятие</w:t>
      </w:r>
      <w:r w:rsidR="000F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комплекса мер по созданию условий для успешной социализации и эффективной самореализации молодежи»;</w:t>
      </w:r>
    </w:p>
    <w:p w:rsidR="002F59A5" w:rsidRPr="002F59A5" w:rsidRDefault="002F59A5" w:rsidP="002F59A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основное мероприятие </w:t>
      </w:r>
      <w:r w:rsidR="000F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комплекса мер по созданию условий для социализации детей в каникулярный период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59A5" w:rsidRPr="002F59A5" w:rsidRDefault="002F59A5" w:rsidP="002F59A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 (индикаторов) Подпрограммы увязан с основными мероприятиями и позволяет оценить ожидаемые результаты и эффективность ее реализации на период до 2019 года включительно.</w:t>
      </w:r>
    </w:p>
    <w:p w:rsidR="002F59A5" w:rsidRPr="002F59A5" w:rsidRDefault="002F59A5" w:rsidP="002F59A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комплекса мер по созданию условий для успешной социализации и эффективной самореализации молодежи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Показателями мероприятия являются: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«доля подростков и молодежи от 14 до 30 лет, занимающихся в молодежных клубах, центрах и других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в общем числе молодежи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поселения%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позволяет определить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молодежных клубов, центров и других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 Планируется достичь не менее 13 % от общей численности молодежи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«количество посещений молодежных мероприятий, чел.» позволяет выявить интерес к проводимым мероприятиям и новым формам досуга. Планируется ежегодно увеличивать количество посещений.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мероприятие «Реализация комплекса мер по созданию условий для социализации детей в каникулярный период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Показателем мероприятия является показатель «количество детей, охваченных организованными формами досуга и занятости в летний период успешной социализации детей и подростков», который позволяет оценить созданные условия. Планируется охват организованными формами досуга и занятости в летний период не менее 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реализуется в 1 этап с 1 января 2017 года по 31 декабря 2019 года.</w:t>
      </w:r>
    </w:p>
    <w:p w:rsidR="002F59A5" w:rsidRPr="002F59A5" w:rsidRDefault="002F59A5" w:rsidP="002F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Характеристика основных мероприятий подпрограммы.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данной Подпрограммы выделяются 2 основных мероприятия: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Реализация комплекса мер по созданию условий для успешной социализации и эффективной самореализации молодежи.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планируется организация мероприятий, направленных на вовлечение молодежи в общественную жизнь города, повышение гражданской активности молодежи, выявление и поддержка талантливой молодежи, поддержка общественных детских и молодежных объединений, волонтерского движения.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планируется проведение обучающих мероприятий: семинаров, форумов, конференций, круглых столов, тренингов, школ актива и т. п. Для выявления и поддержки гражданского и творческого потенциала молодежи планируется организация мероприятий различной направленности: конкурсов социальных проектов, социальной рекламы и др., фестивалей «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Я-молодой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«Молодая гитара» и др. Планируется поддержка деятельности общественных молодежных объединений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волонтерского движения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которого проводятся различные молодежные акции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буккроссинги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п.).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поддержка инициатив молодежи по проведению различных значимых мероприятий, таких как спортивно-патриотическая игра «Победа», участие в молодежных районных мероприятиях (в районном спортивно-туристском слете и др.), молодежные проекты социальной направленности.</w:t>
      </w:r>
    </w:p>
    <w:p w:rsidR="002F59A5" w:rsidRPr="002F59A5" w:rsidRDefault="002F59A5" w:rsidP="002F59A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конкурсных отборов социальных проектов могут выделяться денежные средства (гранты) на реализацию наиболее значимых социальных проектов авторам 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таких проектов (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грантополучателям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случае</w:t>
      </w:r>
      <w:proofErr w:type="gram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грантополучателями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участники клубов и объединений муниципальных учреждений культуры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средства на реализацию проектов направляются в муниципальное учреждение культуры без внесения изменений в муниципальную программу путем перераспределения ассигнований при внесении изменений в бюджетную роспись при уточнении бюджета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 В случае</w:t>
      </w:r>
      <w:proofErr w:type="gram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грантополучателями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общественные объединения, социально-ориентированные некоммерческие организации, физические лица, гранты выделяются на основании Договора о предоставлении денежных средств (гранта), форма которого утверждается муниципальным нормативно-правовым актом.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комплекса мер по созданию условий для социализации детей в каникулярный период.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планируется создание временных рабочих мест для подростков и формирование молодежных трудовых отрядов в летний период на базе муниципальных учреждений культуры.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реализации Подпрограммы планируется создание эффективных механизмов взаимодействия между органами, реализующими молодежную политику на территории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молодежью, а также молодежными общественными организациями и объединениями, с целью постепенного качественного изменения отношения к реализации молодежной политики с учетом пожеланий и предложений молодежи, а также вовлечение большего количества молодых людей к участию в мероприятиях, проводимых в рамках реализации государственной молодежной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территории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 Внедрение новых форм молодежного досуга, на основе опыта других муниципальных образований регионов России с целью разнообразить досуг молодежи и вовлечь большее  количество молодых людей, в новые и интересные для них формы мероприятий. Таким образом</w:t>
      </w:r>
      <w:r w:rsidR="00C345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результатом реализации Подпрограммы станут: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Появление эффективных механизмов включения молодежи в процессы социально-экономического, общественно-политического и культурного развития города.</w:t>
      </w:r>
    </w:p>
    <w:p w:rsidR="002F59A5" w:rsidRPr="002F59A5" w:rsidRDefault="002F59A5" w:rsidP="002F59A5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числа реализуемых молодежных социальных проектов, направленных на развитие города.</w:t>
      </w:r>
    </w:p>
    <w:p w:rsidR="002F59A5" w:rsidRPr="002F59A5" w:rsidRDefault="002F59A5" w:rsidP="002F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9A5" w:rsidRPr="002F59A5" w:rsidRDefault="002F59A5" w:rsidP="002F59A5">
      <w:pPr>
        <w:shd w:val="clear" w:color="auto" w:fill="FFFFFF"/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Информация о ресурсном обеспечении подпрограммы.</w:t>
      </w:r>
    </w:p>
    <w:p w:rsidR="002F59A5" w:rsidRPr="002F59A5" w:rsidRDefault="002F59A5" w:rsidP="002F59A5">
      <w:pPr>
        <w:shd w:val="clear" w:color="auto" w:fill="FFFFFF"/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бюджета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C345D3" w:rsidRPr="002F59A5" w:rsidRDefault="00C345D3" w:rsidP="00C3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3 024,94635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том числе:</w:t>
      </w:r>
    </w:p>
    <w:p w:rsidR="00C345D3" w:rsidRPr="002F59A5" w:rsidRDefault="00C345D3" w:rsidP="00C3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 год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894,49506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</w:t>
      </w:r>
    </w:p>
    <w:p w:rsidR="00C345D3" w:rsidRPr="002F59A5" w:rsidRDefault="00C345D3" w:rsidP="00C3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 год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1 128,4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</w:t>
      </w:r>
    </w:p>
    <w:p w:rsidR="00C345D3" w:rsidRPr="002F59A5" w:rsidRDefault="00C345D3" w:rsidP="00C3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год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1 002,1</w:t>
      </w: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2F59A5" w:rsidRPr="002F59A5" w:rsidRDefault="002F59A5" w:rsidP="002F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</w:t>
      </w:r>
      <w:proofErr w:type="spellStart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поселения.</w:t>
      </w: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данной подпрограммы не исключена возможность привлечения внебюджетных источников финансирования на реализацию отдельных пунктов данной подпрограммы.</w:t>
      </w:r>
    </w:p>
    <w:p w:rsidR="002F59A5" w:rsidRPr="002F59A5" w:rsidRDefault="002F59A5" w:rsidP="002F59A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предполагает активное участие в её реализации со стороны муниципальных учреждений культуры и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занятости, а также возможность участия в её реализации общественных объединений, некоммерческих организаций. </w:t>
      </w:r>
    </w:p>
    <w:p w:rsidR="002F59A5" w:rsidRPr="002F59A5" w:rsidRDefault="002F59A5" w:rsidP="002F59A5">
      <w:pPr>
        <w:spacing w:after="0" w:line="240" w:lineRule="auto"/>
        <w:ind w:firstLine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Методика расчета эффективности реализации подпрограммы.</w:t>
      </w: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степени достижения целей и решения задач подпрограммы путем </w:t>
      </w: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степени реализации мероприятий </w:t>
      </w: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целей и решения задач подпрограммы (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100%,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индикатора (показателя) подпрограммы.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реализации подпрограммы применяются следующие параметры: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достигнуты значения 95 процентов и более показателей подпрограммы;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95 проц. мероприятий, запланированных на отчетный год, </w:t>
      </w: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достигнуты значения 80 проц. и более показателей подпрограммы;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80 проц. мероприятий, запланированных на отчетный год, </w:t>
      </w:r>
      <w:proofErr w:type="gramStart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F59A5" w:rsidRP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подпрограммы не отвечает критериям, указанным в пунктах 1 и 2.</w:t>
      </w:r>
    </w:p>
    <w:p w:rsidR="002F59A5" w:rsidRDefault="002F59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59A5" w:rsidRDefault="002F59A5" w:rsidP="002F5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59A5" w:rsidSect="002F59A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345D3" w:rsidRDefault="002F59A5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5D3">
        <w:rPr>
          <w:rFonts w:ascii="Times New Roman" w:hAnsi="Times New Roman" w:cs="Times New Roman"/>
          <w:sz w:val="20"/>
          <w:szCs w:val="20"/>
        </w:rPr>
        <w:lastRenderedPageBreak/>
        <w:t>Таблица 1</w:t>
      </w:r>
      <w:r w:rsidR="00C345D3" w:rsidRPr="00C345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45D3" w:rsidRDefault="00B30831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подпрограмме 2</w:t>
      </w:r>
      <w:r w:rsidR="00C345D3" w:rsidRPr="00C345D3">
        <w:rPr>
          <w:rFonts w:ascii="Times New Roman" w:hAnsi="Times New Roman" w:cs="Times New Roman"/>
          <w:sz w:val="20"/>
          <w:szCs w:val="20"/>
        </w:rPr>
        <w:t xml:space="preserve"> муниципальной программы, </w:t>
      </w:r>
    </w:p>
    <w:p w:rsidR="00C345D3" w:rsidRPr="00C345D3" w:rsidRDefault="00C345D3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5D3">
        <w:rPr>
          <w:rFonts w:ascii="Times New Roman" w:hAnsi="Times New Roman" w:cs="Times New Roman"/>
          <w:sz w:val="20"/>
          <w:szCs w:val="20"/>
        </w:rPr>
        <w:t>утвержденной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45D3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C345D3" w:rsidRPr="00C345D3" w:rsidRDefault="00C345D3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345D3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C345D3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C345D3" w:rsidRPr="00C345D3" w:rsidRDefault="00C345D3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5D3">
        <w:rPr>
          <w:rFonts w:ascii="Times New Roman" w:hAnsi="Times New Roman" w:cs="Times New Roman"/>
          <w:sz w:val="20"/>
          <w:szCs w:val="20"/>
        </w:rPr>
        <w:t>от 02.11.2016 г. №1683-п</w:t>
      </w:r>
    </w:p>
    <w:p w:rsidR="00C345D3" w:rsidRPr="00C345D3" w:rsidRDefault="00C345D3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345D3">
        <w:rPr>
          <w:rFonts w:ascii="Times New Roman" w:hAnsi="Times New Roman" w:cs="Times New Roman"/>
          <w:sz w:val="20"/>
          <w:szCs w:val="20"/>
        </w:rPr>
        <w:t>(в редакции постановления администрации</w:t>
      </w:r>
      <w:proofErr w:type="gramEnd"/>
    </w:p>
    <w:p w:rsidR="00C345D3" w:rsidRPr="00C345D3" w:rsidRDefault="00C345D3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5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45D3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C345D3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C345D3" w:rsidRPr="00C345D3" w:rsidRDefault="00C345D3" w:rsidP="00C345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5D3">
        <w:rPr>
          <w:rFonts w:ascii="Times New Roman" w:hAnsi="Times New Roman" w:cs="Times New Roman"/>
          <w:sz w:val="20"/>
          <w:szCs w:val="20"/>
        </w:rPr>
        <w:t>от _________ № ____________)</w:t>
      </w:r>
    </w:p>
    <w:p w:rsidR="002F59A5" w:rsidRPr="002F59A5" w:rsidRDefault="002F59A5" w:rsidP="002F59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A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F59A5" w:rsidRPr="002F59A5" w:rsidRDefault="002F59A5" w:rsidP="002F5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9A5">
        <w:rPr>
          <w:rFonts w:ascii="Times New Roman" w:hAnsi="Times New Roman" w:cs="Times New Roman"/>
          <w:b/>
          <w:sz w:val="24"/>
          <w:szCs w:val="24"/>
        </w:rPr>
        <w:t xml:space="preserve">о показателях (индикаторах) муниципальной подпрограммы «Развитие молодежной политики на территории </w:t>
      </w:r>
      <w:proofErr w:type="spellStart"/>
      <w:r w:rsidRPr="002F59A5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2F59A5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поселения» и их значениях</w:t>
      </w:r>
    </w:p>
    <w:p w:rsidR="002F59A5" w:rsidRPr="002F59A5" w:rsidRDefault="002F59A5" w:rsidP="002F59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1"/>
        <w:gridCol w:w="7220"/>
        <w:gridCol w:w="1253"/>
        <w:gridCol w:w="1196"/>
        <w:gridCol w:w="1291"/>
        <w:gridCol w:w="1215"/>
        <w:gridCol w:w="1435"/>
      </w:tblGrid>
      <w:tr w:rsidR="002F59A5" w:rsidRPr="002F59A5" w:rsidTr="00354195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2F59A5" w:rsidRPr="002F59A5" w:rsidTr="00354195"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F59A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2F59A5" w:rsidRPr="002F59A5" w:rsidTr="00354195">
        <w:tc>
          <w:tcPr>
            <w:tcW w:w="14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Основное мероприятие 2.1. Реализация комплекса мер по созданию условий для успешной социализации и эффективной самореализации молодежи</w:t>
            </w:r>
          </w:p>
        </w:tc>
      </w:tr>
      <w:tr w:rsidR="002F59A5" w:rsidRPr="002F59A5" w:rsidTr="0035419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 (индикатор) 2.1.1 - доля подростков и молодежи от 14 до 30 лет, занимающихся в молодежных клубах, центрах и других </w:t>
            </w:r>
            <w:proofErr w:type="spellStart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учреждениях от общего числа молодежи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F59A5" w:rsidRPr="002F59A5" w:rsidTr="0035419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9A5" w:rsidRPr="002F59A5" w:rsidRDefault="002F59A5" w:rsidP="002F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(индикатор) 2.1.2 - количество посещений молодежных мероприятий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1200</w:t>
            </w:r>
          </w:p>
        </w:tc>
      </w:tr>
      <w:tr w:rsidR="002F59A5" w:rsidRPr="002F59A5" w:rsidTr="00354195">
        <w:tc>
          <w:tcPr>
            <w:tcW w:w="144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Основное мероприятие 2.2. Реализация комплекса мер по созданию условий для социализации детей в каникулярный период</w:t>
            </w:r>
          </w:p>
        </w:tc>
      </w:tr>
      <w:tr w:rsidR="002F59A5" w:rsidRPr="002F59A5" w:rsidTr="0035419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(индикатор) 2.2.1 - количество детей, охваченных организованными формами досуга и занятости в летний период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A5" w:rsidRPr="002F59A5" w:rsidRDefault="002F59A5" w:rsidP="002F59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30</w:t>
            </w:r>
          </w:p>
        </w:tc>
      </w:tr>
    </w:tbl>
    <w:p w:rsidR="000C27C1" w:rsidRPr="002F59A5" w:rsidRDefault="000C27C1" w:rsidP="002F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27C1" w:rsidRPr="002F59A5" w:rsidSect="00E4394A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9A5"/>
    <w:rsid w:val="00006F3C"/>
    <w:rsid w:val="000C27C1"/>
    <w:rsid w:val="000F4553"/>
    <w:rsid w:val="00154FC0"/>
    <w:rsid w:val="002F59A5"/>
    <w:rsid w:val="00532FB2"/>
    <w:rsid w:val="0066083D"/>
    <w:rsid w:val="00A85A93"/>
    <w:rsid w:val="00B30831"/>
    <w:rsid w:val="00C345D3"/>
    <w:rsid w:val="00D77F6B"/>
    <w:rsid w:val="00DA4CFA"/>
    <w:rsid w:val="00E4394A"/>
    <w:rsid w:val="00E60F39"/>
    <w:rsid w:val="00EB49D6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9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59A5"/>
    <w:pPr>
      <w:spacing w:before="100" w:beforeAutospacing="1" w:after="119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2588</Words>
  <Characters>14757</Characters>
  <Application>Microsoft Office Word</Application>
  <DocSecurity>0</DocSecurity>
  <Lines>122</Lines>
  <Paragraphs>34</Paragraphs>
  <ScaleCrop>false</ScaleCrop>
  <Company/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9</cp:revision>
  <cp:lastPrinted>2019-02-19T12:34:00Z</cp:lastPrinted>
  <dcterms:created xsi:type="dcterms:W3CDTF">2017-10-31T07:45:00Z</dcterms:created>
  <dcterms:modified xsi:type="dcterms:W3CDTF">2019-02-19T12:34:00Z</dcterms:modified>
</cp:coreProperties>
</file>