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E2C7" w14:textId="45A95DB7" w:rsidR="005336FB" w:rsidRDefault="005336FB" w:rsidP="005336F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336FB">
        <w:rPr>
          <w:rFonts w:ascii="Times New Roman" w:eastAsia="Times New Roman" w:hAnsi="Times New Roman" w:cs="Times New Roman"/>
          <w:b/>
          <w:bCs/>
          <w:kern w:val="36"/>
          <w:sz w:val="48"/>
          <w:szCs w:val="48"/>
          <w:highlight w:val="yellow"/>
          <w:lang w:eastAsia="ru-RU"/>
        </w:rPr>
        <w:t>3</w:t>
      </w:r>
    </w:p>
    <w:p w14:paraId="701CFAC4" w14:textId="318A487D" w:rsidR="005336FB" w:rsidRDefault="005336FB" w:rsidP="005336F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hyperlink r:id="rId5" w:history="1">
        <w:r w:rsidRPr="00CC3540">
          <w:rPr>
            <w:rStyle w:val="a6"/>
            <w:rFonts w:ascii="Times New Roman" w:eastAsia="Times New Roman" w:hAnsi="Times New Roman" w:cs="Times New Roman"/>
            <w:b/>
            <w:bCs/>
            <w:kern w:val="36"/>
            <w:sz w:val="48"/>
            <w:szCs w:val="48"/>
            <w:lang w:eastAsia="ru-RU"/>
          </w:rPr>
          <w:t>https://veterinary.lenobl.ru/ru/news/34169/</w:t>
        </w:r>
      </w:hyperlink>
    </w:p>
    <w:p w14:paraId="110DF398" w14:textId="77777777" w:rsidR="005336FB" w:rsidRPr="005336FB" w:rsidRDefault="005336FB" w:rsidP="005336F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336FB">
        <w:rPr>
          <w:rFonts w:ascii="Times New Roman" w:eastAsia="Times New Roman" w:hAnsi="Times New Roman" w:cs="Times New Roman"/>
          <w:b/>
          <w:bCs/>
          <w:kern w:val="36"/>
          <w:sz w:val="48"/>
          <w:szCs w:val="48"/>
          <w:lang w:eastAsia="ru-RU"/>
        </w:rPr>
        <w:t>Угрозы птицеводству и профилактика заболеваний</w:t>
      </w:r>
    </w:p>
    <w:p w14:paraId="5F46BD7F" w14:textId="77777777" w:rsidR="005336FB" w:rsidRPr="005336FB" w:rsidRDefault="005336FB" w:rsidP="005336FB">
      <w:pPr>
        <w:spacing w:after="0"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24 февраля 2021</w:t>
      </w:r>
    </w:p>
    <w:p w14:paraId="37E0A294" w14:textId="4B613F3B" w:rsidR="005336FB" w:rsidRPr="005336FB" w:rsidRDefault="005336FB" w:rsidP="005336FB">
      <w:pPr>
        <w:spacing w:after="0"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noProof/>
          <w:sz w:val="24"/>
          <w:szCs w:val="24"/>
          <w:lang w:eastAsia="ru-RU"/>
        </w:rPr>
        <w:drawing>
          <wp:inline distT="0" distB="0" distL="0" distR="0" wp14:anchorId="0BB7463B" wp14:editId="0378C66F">
            <wp:extent cx="5940425" cy="3957955"/>
            <wp:effectExtent l="0" t="0" r="3175" b="4445"/>
            <wp:docPr id="2" name="Рисунок 2" descr="Угрозы птицеводству и профилактика заболе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грозы птицеводству и профилактика заболеван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7955"/>
                    </a:xfrm>
                    <a:prstGeom prst="rect">
                      <a:avLst/>
                    </a:prstGeom>
                    <a:noFill/>
                    <a:ln>
                      <a:noFill/>
                    </a:ln>
                  </pic:spPr>
                </pic:pic>
              </a:graphicData>
            </a:graphic>
          </wp:inline>
        </w:drawing>
      </w:r>
    </w:p>
    <w:p w14:paraId="3FC9E1C1"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Основную угрозу птицеводству несет высокопатогенный грипп птиц, который впервые был выявлен в Италии более ста тридцати лет назад. С тех пор это заболевание держит в страхе весь мир.</w:t>
      </w:r>
    </w:p>
    <w:p w14:paraId="3EE688B9"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Эпизоотическая ситуация по гриппу птиц в 2020 году резко ухудшилась: к постоянно «тлеющим» очагам в Юго-Восточной Азии добавились вспышки в Африке, Китае и — особенно много — в Европе.</w:t>
      </w:r>
    </w:p>
    <w:p w14:paraId="2D17F25B"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По данным Всемирной организации охраны здоровья животных (МЭБ) в 2020 году зарегистрировано 457 очагов высокопатогенного гриппа птиц в </w:t>
      </w:r>
      <w:r w:rsidRPr="005336FB">
        <w:rPr>
          <w:rFonts w:ascii="Times New Roman" w:eastAsia="Times New Roman" w:hAnsi="Times New Roman" w:cs="Times New Roman"/>
          <w:b/>
          <w:bCs/>
          <w:sz w:val="24"/>
          <w:szCs w:val="24"/>
          <w:lang w:eastAsia="ru-RU"/>
        </w:rPr>
        <w:t>19 странах мира</w:t>
      </w:r>
      <w:r w:rsidRPr="005336FB">
        <w:rPr>
          <w:rFonts w:ascii="Times New Roman" w:eastAsia="Times New Roman" w:hAnsi="Times New Roman" w:cs="Times New Roman"/>
          <w:sz w:val="24"/>
          <w:szCs w:val="24"/>
          <w:lang w:eastAsia="ru-RU"/>
        </w:rPr>
        <w:t>, в том числе: Молдова (1), Израиль (1), Ирак (1), Саудовская Аравия (1), США (1), Украина (1), Филиппины (1), Чешская Республика (2), ЮАР (2), Словакия (3), Индия (4), Китай (5), Германия (7), Болгария (8), Румыния (25), Польша (27), Тайвань (49), Вьетнам (50), Венгрия (268).</w:t>
      </w:r>
    </w:p>
    <w:p w14:paraId="0AB95C09"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В Европе регистрируется высокий уровень циркуляции вируса, причем на сегодняшний день ситуация по гриппу отличается разнообразием вариантов возбудителя - от H5N1 </w:t>
      </w:r>
      <w:r w:rsidRPr="005336FB">
        <w:rPr>
          <w:rFonts w:ascii="Times New Roman" w:eastAsia="Times New Roman" w:hAnsi="Times New Roman" w:cs="Times New Roman"/>
          <w:sz w:val="24"/>
          <w:szCs w:val="24"/>
          <w:lang w:eastAsia="ru-RU"/>
        </w:rPr>
        <w:lastRenderedPageBreak/>
        <w:t xml:space="preserve">европейских линий до H5N9 практически со всем ассортиментом по </w:t>
      </w:r>
      <w:proofErr w:type="spellStart"/>
      <w:r w:rsidRPr="005336FB">
        <w:rPr>
          <w:rFonts w:ascii="Times New Roman" w:eastAsia="Times New Roman" w:hAnsi="Times New Roman" w:cs="Times New Roman"/>
          <w:sz w:val="24"/>
          <w:szCs w:val="24"/>
          <w:lang w:eastAsia="ru-RU"/>
        </w:rPr>
        <w:t>нейроминидазе</w:t>
      </w:r>
      <w:proofErr w:type="spellEnd"/>
      <w:r w:rsidRPr="005336FB">
        <w:rPr>
          <w:rFonts w:ascii="Times New Roman" w:eastAsia="Times New Roman" w:hAnsi="Times New Roman" w:cs="Times New Roman"/>
          <w:sz w:val="24"/>
          <w:szCs w:val="24"/>
          <w:lang w:eastAsia="ru-RU"/>
        </w:rPr>
        <w:t>. С территории Японии и Кореи нам грозит занос вируса H5 N6, который, в отличие от H5 N8, вызывал у людей заболевание с летальным исходом. Таких случаев мало, но они зафиксированы. Высок риск заноса опасного для человека вируса H7N9 из Китая.         </w:t>
      </w:r>
    </w:p>
    <w:p w14:paraId="040C89FC"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В 2020 году на территории России отмечена активизация эпизоотии до начала массовой осенней миграции птиц. На территории РФ зарегистрированы 39 вспышек среди сельскохозяйственной птицы. С 2016 года птицеводству России был причинен ущерб на сумму более 5 миллиардов рублей. Зарегистрированы заболевание и падеж домашней птицы, вызванные инфицированием высокопатогенным вирусом гриппа А (H5N8), как в частном секторе, так и на промышленных предприятиях.</w:t>
      </w:r>
    </w:p>
    <w:p w14:paraId="70162B50"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w:t>
      </w:r>
    </w:p>
    <w:p w14:paraId="1D8880B2"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b/>
          <w:bCs/>
          <w:sz w:val="24"/>
          <w:szCs w:val="24"/>
          <w:lang w:eastAsia="ru-RU"/>
        </w:rPr>
        <w:t>На территории Ленинградской области грипп птиц никогда не регистрировался и в целом эпизоотологическая обстановка является стабильно благополучной.</w:t>
      </w:r>
    </w:p>
    <w:p w14:paraId="18BDDE0B"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Подавляющее большинство птицефабрик Ленинградской области комплектуется импортным племенным материалом, что значительно увеличивает риски заноса на нашу территорию новых инфекционных болезней.</w:t>
      </w:r>
    </w:p>
    <w:p w14:paraId="46FC1A5F"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Возбудители следующих болезней были завезены в Россию с племенной продукцией:</w:t>
      </w:r>
    </w:p>
    <w:p w14:paraId="508C8833" w14:textId="77777777" w:rsidR="005336FB" w:rsidRPr="005336FB" w:rsidRDefault="005336FB" w:rsidP="005336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Инфекционная </w:t>
      </w:r>
      <w:proofErr w:type="spellStart"/>
      <w:r w:rsidRPr="005336FB">
        <w:rPr>
          <w:rFonts w:ascii="Times New Roman" w:eastAsia="Times New Roman" w:hAnsi="Times New Roman" w:cs="Times New Roman"/>
          <w:sz w:val="24"/>
          <w:szCs w:val="24"/>
          <w:lang w:eastAsia="ru-RU"/>
        </w:rPr>
        <w:t>бурсальная</w:t>
      </w:r>
      <w:proofErr w:type="spellEnd"/>
      <w:r w:rsidRPr="005336FB">
        <w:rPr>
          <w:rFonts w:ascii="Times New Roman" w:eastAsia="Times New Roman" w:hAnsi="Times New Roman" w:cs="Times New Roman"/>
          <w:sz w:val="24"/>
          <w:szCs w:val="24"/>
          <w:lang w:eastAsia="ru-RU"/>
        </w:rPr>
        <w:t xml:space="preserve"> болезнь </w:t>
      </w:r>
      <w:r w:rsidRPr="005336FB">
        <w:rPr>
          <w:rFonts w:ascii="Times New Roman" w:eastAsia="Times New Roman" w:hAnsi="Times New Roman" w:cs="Times New Roman"/>
          <w:i/>
          <w:iCs/>
          <w:sz w:val="24"/>
          <w:szCs w:val="24"/>
          <w:lang w:eastAsia="ru-RU"/>
        </w:rPr>
        <w:t>(ИББ)</w:t>
      </w:r>
    </w:p>
    <w:p w14:paraId="3A51F6A0" w14:textId="77777777" w:rsidR="005336FB" w:rsidRPr="005336FB" w:rsidRDefault="005336FB" w:rsidP="005336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Инфекционная анемия цыплят </w:t>
      </w:r>
      <w:r w:rsidRPr="005336FB">
        <w:rPr>
          <w:rFonts w:ascii="Times New Roman" w:eastAsia="Times New Roman" w:hAnsi="Times New Roman" w:cs="Times New Roman"/>
          <w:i/>
          <w:iCs/>
          <w:sz w:val="24"/>
          <w:szCs w:val="24"/>
          <w:lang w:eastAsia="ru-RU"/>
        </w:rPr>
        <w:t>(ИАЦ)</w:t>
      </w:r>
    </w:p>
    <w:p w14:paraId="756F39C1" w14:textId="77777777" w:rsidR="005336FB" w:rsidRPr="005336FB" w:rsidRDefault="005336FB" w:rsidP="005336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336FB">
        <w:rPr>
          <w:rFonts w:ascii="Times New Roman" w:eastAsia="Times New Roman" w:hAnsi="Times New Roman" w:cs="Times New Roman"/>
          <w:sz w:val="24"/>
          <w:szCs w:val="24"/>
          <w:lang w:eastAsia="ru-RU"/>
        </w:rPr>
        <w:t>Пневмовирусная</w:t>
      </w:r>
      <w:proofErr w:type="spellEnd"/>
      <w:r w:rsidRPr="005336FB">
        <w:rPr>
          <w:rFonts w:ascii="Times New Roman" w:eastAsia="Times New Roman" w:hAnsi="Times New Roman" w:cs="Times New Roman"/>
          <w:sz w:val="24"/>
          <w:szCs w:val="24"/>
          <w:lang w:eastAsia="ru-RU"/>
        </w:rPr>
        <w:t xml:space="preserve"> инфекция</w:t>
      </w:r>
    </w:p>
    <w:p w14:paraId="470794F4" w14:textId="77777777" w:rsidR="005336FB" w:rsidRPr="005336FB" w:rsidRDefault="005336FB" w:rsidP="005336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Реовирусный </w:t>
      </w:r>
      <w:proofErr w:type="spellStart"/>
      <w:r w:rsidRPr="005336FB">
        <w:rPr>
          <w:rFonts w:ascii="Times New Roman" w:eastAsia="Times New Roman" w:hAnsi="Times New Roman" w:cs="Times New Roman"/>
          <w:sz w:val="24"/>
          <w:szCs w:val="24"/>
          <w:lang w:eastAsia="ru-RU"/>
        </w:rPr>
        <w:t>теносиновит</w:t>
      </w:r>
      <w:proofErr w:type="spellEnd"/>
      <w:r w:rsidRPr="005336FB">
        <w:rPr>
          <w:rFonts w:ascii="Times New Roman" w:eastAsia="Times New Roman" w:hAnsi="Times New Roman" w:cs="Times New Roman"/>
          <w:sz w:val="24"/>
          <w:szCs w:val="24"/>
          <w:lang w:eastAsia="ru-RU"/>
        </w:rPr>
        <w:t xml:space="preserve"> </w:t>
      </w:r>
      <w:r w:rsidRPr="005336FB">
        <w:rPr>
          <w:rFonts w:ascii="Times New Roman" w:eastAsia="Times New Roman" w:hAnsi="Times New Roman" w:cs="Times New Roman"/>
          <w:i/>
          <w:iCs/>
          <w:sz w:val="24"/>
          <w:szCs w:val="24"/>
          <w:lang w:eastAsia="ru-RU"/>
        </w:rPr>
        <w:t>(РВТ)</w:t>
      </w:r>
    </w:p>
    <w:p w14:paraId="08EA2797" w14:textId="77777777" w:rsidR="005336FB" w:rsidRPr="005336FB" w:rsidRDefault="005336FB" w:rsidP="005336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Инфекционный энцефаломиелит птиц </w:t>
      </w:r>
      <w:r w:rsidRPr="005336FB">
        <w:rPr>
          <w:rFonts w:ascii="Times New Roman" w:eastAsia="Times New Roman" w:hAnsi="Times New Roman" w:cs="Times New Roman"/>
          <w:i/>
          <w:iCs/>
          <w:sz w:val="24"/>
          <w:szCs w:val="24"/>
          <w:lang w:eastAsia="ru-RU"/>
        </w:rPr>
        <w:t>(ИЭП)</w:t>
      </w:r>
    </w:p>
    <w:p w14:paraId="19FD8242" w14:textId="77777777" w:rsidR="005336FB" w:rsidRPr="005336FB" w:rsidRDefault="005336FB" w:rsidP="005336F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Вариантные штаммы вируса инфекционного бронхита кур </w:t>
      </w:r>
      <w:r w:rsidRPr="005336FB">
        <w:rPr>
          <w:rFonts w:ascii="Times New Roman" w:eastAsia="Times New Roman" w:hAnsi="Times New Roman" w:cs="Times New Roman"/>
          <w:i/>
          <w:iCs/>
          <w:sz w:val="24"/>
          <w:szCs w:val="24"/>
          <w:lang w:eastAsia="ru-RU"/>
        </w:rPr>
        <w:t>(ИБК) и</w:t>
      </w:r>
      <w:r w:rsidRPr="005336FB">
        <w:rPr>
          <w:rFonts w:ascii="Times New Roman" w:eastAsia="Times New Roman" w:hAnsi="Times New Roman" w:cs="Times New Roman"/>
          <w:sz w:val="24"/>
          <w:szCs w:val="24"/>
          <w:lang w:eastAsia="ru-RU"/>
        </w:rPr>
        <w:t xml:space="preserve"> </w:t>
      </w:r>
      <w:proofErr w:type="spellStart"/>
      <w:r w:rsidRPr="005336FB">
        <w:rPr>
          <w:rFonts w:ascii="Times New Roman" w:eastAsia="Times New Roman" w:hAnsi="Times New Roman" w:cs="Times New Roman"/>
          <w:sz w:val="24"/>
          <w:szCs w:val="24"/>
          <w:lang w:eastAsia="ru-RU"/>
        </w:rPr>
        <w:t>реовируса</w:t>
      </w:r>
      <w:proofErr w:type="spellEnd"/>
      <w:r w:rsidRPr="005336FB">
        <w:rPr>
          <w:rFonts w:ascii="Times New Roman" w:eastAsia="Times New Roman" w:hAnsi="Times New Roman" w:cs="Times New Roman"/>
          <w:sz w:val="24"/>
          <w:szCs w:val="24"/>
          <w:lang w:eastAsia="ru-RU"/>
        </w:rPr>
        <w:t xml:space="preserve"> </w:t>
      </w:r>
      <w:r w:rsidRPr="005336FB">
        <w:rPr>
          <w:rFonts w:ascii="Times New Roman" w:eastAsia="Times New Roman" w:hAnsi="Times New Roman" w:cs="Times New Roman"/>
          <w:i/>
          <w:iCs/>
          <w:sz w:val="24"/>
          <w:szCs w:val="24"/>
          <w:lang w:eastAsia="ru-RU"/>
        </w:rPr>
        <w:t>(РЕО)</w:t>
      </w:r>
    </w:p>
    <w:p w14:paraId="2D7ACC82"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Ранее, до 1990 года, в промышленном птицеводстве план мероприятий предусматривал вакцинации и исследования </w:t>
      </w:r>
      <w:r w:rsidRPr="005336FB">
        <w:rPr>
          <w:rFonts w:ascii="Times New Roman" w:eastAsia="Times New Roman" w:hAnsi="Times New Roman" w:cs="Times New Roman"/>
          <w:b/>
          <w:bCs/>
          <w:sz w:val="24"/>
          <w:szCs w:val="24"/>
          <w:lang w:eastAsia="ru-RU"/>
        </w:rPr>
        <w:t>против 5</w:t>
      </w:r>
      <w:r w:rsidRPr="005336FB">
        <w:rPr>
          <w:rFonts w:ascii="Times New Roman" w:eastAsia="Times New Roman" w:hAnsi="Times New Roman" w:cs="Times New Roman"/>
          <w:sz w:val="24"/>
          <w:szCs w:val="24"/>
          <w:lang w:eastAsia="ru-RU"/>
        </w:rPr>
        <w:t xml:space="preserve"> инфекционных заболеваний, в настоящее время – их список </w:t>
      </w:r>
      <w:r w:rsidRPr="005336FB">
        <w:rPr>
          <w:rFonts w:ascii="Times New Roman" w:eastAsia="Times New Roman" w:hAnsi="Times New Roman" w:cs="Times New Roman"/>
          <w:b/>
          <w:bCs/>
          <w:sz w:val="24"/>
          <w:szCs w:val="24"/>
          <w:lang w:eastAsia="ru-RU"/>
        </w:rPr>
        <w:t>расширился уже до 13.</w:t>
      </w:r>
    </w:p>
    <w:p w14:paraId="5B046959"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Именно по этой причине завозимый племенной материал проходит обязательное </w:t>
      </w:r>
      <w:proofErr w:type="spellStart"/>
      <w:r w:rsidRPr="005336FB">
        <w:rPr>
          <w:rFonts w:ascii="Times New Roman" w:eastAsia="Times New Roman" w:hAnsi="Times New Roman" w:cs="Times New Roman"/>
          <w:sz w:val="24"/>
          <w:szCs w:val="24"/>
          <w:lang w:eastAsia="ru-RU"/>
        </w:rPr>
        <w:t>карантинирование</w:t>
      </w:r>
      <w:proofErr w:type="spellEnd"/>
      <w:r w:rsidRPr="005336FB">
        <w:rPr>
          <w:rFonts w:ascii="Times New Roman" w:eastAsia="Times New Roman" w:hAnsi="Times New Roman" w:cs="Times New Roman"/>
          <w:sz w:val="24"/>
          <w:szCs w:val="24"/>
          <w:lang w:eastAsia="ru-RU"/>
        </w:rPr>
        <w:t xml:space="preserve"> под контролем специалистов государственной ветеринарной службы Ленинградской области.</w:t>
      </w:r>
    </w:p>
    <w:p w14:paraId="534A582B"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Птицеводство в Ленинградской области представлено птицеводческими хозяйствами яичного и мясного направления продуктивности. </w:t>
      </w:r>
      <w:proofErr w:type="gramStart"/>
      <w:r w:rsidRPr="005336FB">
        <w:rPr>
          <w:rFonts w:ascii="Times New Roman" w:eastAsia="Times New Roman" w:hAnsi="Times New Roman" w:cs="Times New Roman"/>
          <w:sz w:val="24"/>
          <w:szCs w:val="24"/>
          <w:lang w:eastAsia="ru-RU"/>
        </w:rPr>
        <w:t>Две  птицефабрики</w:t>
      </w:r>
      <w:proofErr w:type="gramEnd"/>
      <w:r w:rsidRPr="005336FB">
        <w:rPr>
          <w:rFonts w:ascii="Times New Roman" w:eastAsia="Times New Roman" w:hAnsi="Times New Roman" w:cs="Times New Roman"/>
          <w:sz w:val="24"/>
          <w:szCs w:val="24"/>
          <w:lang w:eastAsia="ru-RU"/>
        </w:rPr>
        <w:t xml:space="preserve"> яичного направления продуктивности: АО «Агрокомплекс Оредеж» и  АО «ПФ Синявинская». АО «ПФ </w:t>
      </w:r>
      <w:proofErr w:type="spellStart"/>
      <w:r w:rsidRPr="005336FB">
        <w:rPr>
          <w:rFonts w:ascii="Times New Roman" w:eastAsia="Times New Roman" w:hAnsi="Times New Roman" w:cs="Times New Roman"/>
          <w:sz w:val="24"/>
          <w:szCs w:val="24"/>
          <w:lang w:eastAsia="ru-RU"/>
        </w:rPr>
        <w:t>Роскар</w:t>
      </w:r>
      <w:proofErr w:type="spellEnd"/>
      <w:r w:rsidRPr="005336FB">
        <w:rPr>
          <w:rFonts w:ascii="Times New Roman" w:eastAsia="Times New Roman" w:hAnsi="Times New Roman" w:cs="Times New Roman"/>
          <w:sz w:val="24"/>
          <w:szCs w:val="24"/>
          <w:lang w:eastAsia="ru-RU"/>
        </w:rPr>
        <w:t xml:space="preserve">» специализируется как на производстве товарного яйца, так и на производстве мяса бройлеров. Производители мяса бройлеров - ОА «ПФ Северная». Птицефабрики и АО «ПФ </w:t>
      </w:r>
      <w:proofErr w:type="spellStart"/>
      <w:r w:rsidRPr="005336FB">
        <w:rPr>
          <w:rFonts w:ascii="Times New Roman" w:eastAsia="Times New Roman" w:hAnsi="Times New Roman" w:cs="Times New Roman"/>
          <w:sz w:val="24"/>
          <w:szCs w:val="24"/>
          <w:lang w:eastAsia="ru-RU"/>
        </w:rPr>
        <w:t>Роскар</w:t>
      </w:r>
      <w:proofErr w:type="spellEnd"/>
      <w:r w:rsidRPr="005336FB">
        <w:rPr>
          <w:rFonts w:ascii="Times New Roman" w:eastAsia="Times New Roman" w:hAnsi="Times New Roman" w:cs="Times New Roman"/>
          <w:sz w:val="24"/>
          <w:szCs w:val="24"/>
          <w:lang w:eastAsia="ru-RU"/>
        </w:rPr>
        <w:t xml:space="preserve">», АО «ПФ Синявинская», АО «ППФ </w:t>
      </w:r>
      <w:proofErr w:type="spellStart"/>
      <w:r w:rsidRPr="005336FB">
        <w:rPr>
          <w:rFonts w:ascii="Times New Roman" w:eastAsia="Times New Roman" w:hAnsi="Times New Roman" w:cs="Times New Roman"/>
          <w:sz w:val="24"/>
          <w:szCs w:val="24"/>
          <w:lang w:eastAsia="ru-RU"/>
        </w:rPr>
        <w:t>Войсковицы</w:t>
      </w:r>
      <w:proofErr w:type="spellEnd"/>
      <w:r w:rsidRPr="005336FB">
        <w:rPr>
          <w:rFonts w:ascii="Times New Roman" w:eastAsia="Times New Roman" w:hAnsi="Times New Roman" w:cs="Times New Roman"/>
          <w:sz w:val="24"/>
          <w:szCs w:val="24"/>
          <w:lang w:eastAsia="ru-RU"/>
        </w:rPr>
        <w:t>» имеют свои родительские стада.</w:t>
      </w:r>
    </w:p>
    <w:p w14:paraId="6625457B"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Общее поголовье составляет более 30 млн. голов, поголовье птицы в ЛПХ составляет более 250 тыс. голов (4350 ЛПХ и 155 КФХ). Сокращение поголовья птицы в 2019-2020 года было незначительным и связано с прекращением деятельности отдельных предприятий.</w:t>
      </w:r>
    </w:p>
    <w:p w14:paraId="3EE7740C"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lastRenderedPageBreak/>
        <w:t> </w:t>
      </w:r>
    </w:p>
    <w:p w14:paraId="505BCD92"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Мероприятия по профилактике гриппа птиц на территории субъекта проводятся в соответствии с Правилами по борьбе с гриппом птиц, утвержденными приказом Минсельхоза России от 27 марта 2006 года № 90, рекомендациями Федеральной службы по ветеринарному и фитосанитарному надзору от 30 ноября 2016 года № ФС-НВ-2/22843.</w:t>
      </w:r>
    </w:p>
    <w:p w14:paraId="6CEA3261"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В соответствии с пунктами 21, 24 Правил по борьбе с гриппом птиц, утвержденных приказом Минсельхоза России от 27 марта 2006 года № 90, на территории Ленинградской области проводятся мониторинговые исследования в рамках Плана государственного лабораторного эпизоотического мониторинга Ленинградской области, Плана регионального лабораторного эпизоотического мониторинга Ленинградской области.</w:t>
      </w:r>
    </w:p>
    <w:p w14:paraId="6F9B92FE"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Управление и подведомственные учреждения, осуществляют комплекс мероприятий по недопущению возникновения ВПГП в соответствии с </w:t>
      </w:r>
      <w:r w:rsidRPr="005336FB">
        <w:rPr>
          <w:rFonts w:ascii="Times New Roman" w:eastAsia="Times New Roman" w:hAnsi="Times New Roman" w:cs="Times New Roman"/>
          <w:b/>
          <w:bCs/>
          <w:sz w:val="24"/>
          <w:szCs w:val="24"/>
          <w:lang w:eastAsia="ru-RU"/>
        </w:rPr>
        <w:t xml:space="preserve">Планом мероприятий по предупреждению заноса и распространения гриппа птиц на территории Санкт-Петербурга и Ленинградской области </w:t>
      </w:r>
      <w:r w:rsidRPr="005336FB">
        <w:rPr>
          <w:rFonts w:ascii="Times New Roman" w:eastAsia="Times New Roman" w:hAnsi="Times New Roman" w:cs="Times New Roman"/>
          <w:sz w:val="24"/>
          <w:szCs w:val="24"/>
          <w:lang w:eastAsia="ru-RU"/>
        </w:rPr>
        <w:t>на 2021-2023 годы, утверждённым Губернаторами Санкт-Петербурга и Ленинградской области.</w:t>
      </w:r>
    </w:p>
    <w:p w14:paraId="3E631FDF"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Специалистами государственной ветеринарной службы отобрано 8 071 проба биологического материала от домашней птицы (т.е. 3% поголовье исследовано на грипп птиц). От дикой и синантропной птицы отобрана 661 проба. Все результаты отрицательные.</w:t>
      </w:r>
    </w:p>
    <w:p w14:paraId="7BCA82C1"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Проведение мониторинга эпизоотической ситуации среди диких животных – это необходимое мероприятие для контроля за состоянием охотничьих ресурсов, а также для обеспечения безопасности здоровья людей и домашних животных.</w:t>
      </w:r>
    </w:p>
    <w:p w14:paraId="230710AA"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Постоянный лабораторный мониторинг циркуляции ВПГП среди домашней, синантропной и дикой птицы осуществляется на территории Ленинградской области в целях защиты промышленного птицеводства, в первую очередь, </w:t>
      </w:r>
      <w:r w:rsidRPr="005336FB">
        <w:rPr>
          <w:rFonts w:ascii="Times New Roman" w:eastAsia="Times New Roman" w:hAnsi="Times New Roman" w:cs="Times New Roman"/>
          <w:b/>
          <w:bCs/>
          <w:sz w:val="24"/>
          <w:szCs w:val="24"/>
          <w:lang w:eastAsia="ru-RU"/>
        </w:rPr>
        <w:t>30 млн. птицы</w:t>
      </w:r>
      <w:r w:rsidRPr="005336FB">
        <w:rPr>
          <w:rFonts w:ascii="Times New Roman" w:eastAsia="Times New Roman" w:hAnsi="Times New Roman" w:cs="Times New Roman"/>
          <w:sz w:val="24"/>
          <w:szCs w:val="24"/>
          <w:lang w:eastAsia="ru-RU"/>
        </w:rPr>
        <w:t>.</w:t>
      </w:r>
    </w:p>
    <w:p w14:paraId="6117089F"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В 2020 году в ветеринарных лабораториях области на грипп птиц проведено исследование 11 570 проб диагностического материала (помёт, яйцо, суточные цыплята, сыворотки крови </w:t>
      </w:r>
      <w:proofErr w:type="gramStart"/>
      <w:r w:rsidRPr="005336FB">
        <w:rPr>
          <w:rFonts w:ascii="Times New Roman" w:eastAsia="Times New Roman" w:hAnsi="Times New Roman" w:cs="Times New Roman"/>
          <w:sz w:val="24"/>
          <w:szCs w:val="24"/>
          <w:lang w:eastAsia="ru-RU"/>
        </w:rPr>
        <w:t>на  наличие</w:t>
      </w:r>
      <w:proofErr w:type="gramEnd"/>
      <w:r w:rsidRPr="005336FB">
        <w:rPr>
          <w:rFonts w:ascii="Times New Roman" w:eastAsia="Times New Roman" w:hAnsi="Times New Roman" w:cs="Times New Roman"/>
          <w:sz w:val="24"/>
          <w:szCs w:val="24"/>
          <w:lang w:eastAsia="ru-RU"/>
        </w:rPr>
        <w:t xml:space="preserve"> антител к гриппу птиц, мясная продукция).</w:t>
      </w:r>
    </w:p>
    <w:p w14:paraId="4BB2A4D0"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Методом полимеразной цепной реакции (ПЦР) – 5 666</w:t>
      </w:r>
    </w:p>
    <w:p w14:paraId="1F698C5E"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Методом иммуноферментного анализа (ИФА) - 3704</w:t>
      </w:r>
    </w:p>
    <w:p w14:paraId="2F3AAC98"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Серологическим методом (РТГА) – 2200</w:t>
      </w:r>
    </w:p>
    <w:p w14:paraId="78FC10C4"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Выделено из средств областного бюджета более 22,5 млн. рублей.</w:t>
      </w:r>
    </w:p>
    <w:p w14:paraId="791C2F54"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По результатам проведенных клинических осмотров и лабораторных исследований случаев </w:t>
      </w:r>
      <w:proofErr w:type="spellStart"/>
      <w:r w:rsidRPr="005336FB">
        <w:rPr>
          <w:rFonts w:ascii="Times New Roman" w:eastAsia="Times New Roman" w:hAnsi="Times New Roman" w:cs="Times New Roman"/>
          <w:sz w:val="24"/>
          <w:szCs w:val="24"/>
          <w:lang w:eastAsia="ru-RU"/>
        </w:rPr>
        <w:t>вирусоносительства</w:t>
      </w:r>
      <w:proofErr w:type="spellEnd"/>
      <w:r w:rsidRPr="005336FB">
        <w:rPr>
          <w:rFonts w:ascii="Times New Roman" w:eastAsia="Times New Roman" w:hAnsi="Times New Roman" w:cs="Times New Roman"/>
          <w:sz w:val="24"/>
          <w:szCs w:val="24"/>
          <w:lang w:eastAsia="ru-RU"/>
        </w:rPr>
        <w:t xml:space="preserve"> и заболевания птицы не выявлено.</w:t>
      </w:r>
    </w:p>
    <w:p w14:paraId="49509ABB"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Кроме того, проводятся в рамках мониторинга исследования биологического материала от птицы на орнитоз, болезнь Ньюкасла, сальмонеллёз и паразитарные болезни.</w:t>
      </w:r>
    </w:p>
    <w:p w14:paraId="344CE375" w14:textId="77777777" w:rsidR="005336FB" w:rsidRPr="005336FB" w:rsidRDefault="005336FB" w:rsidP="005336FB">
      <w:pPr>
        <w:spacing w:before="100" w:beforeAutospacing="1" w:after="100" w:afterAutospacing="1" w:line="240" w:lineRule="auto"/>
        <w:rPr>
          <w:rFonts w:ascii="Times New Roman" w:eastAsia="Times New Roman" w:hAnsi="Times New Roman" w:cs="Times New Roman"/>
          <w:sz w:val="24"/>
          <w:szCs w:val="24"/>
          <w:lang w:eastAsia="ru-RU"/>
        </w:rPr>
      </w:pPr>
      <w:r w:rsidRPr="005336FB">
        <w:rPr>
          <w:rFonts w:ascii="Times New Roman" w:eastAsia="Times New Roman" w:hAnsi="Times New Roman" w:cs="Times New Roman"/>
          <w:sz w:val="24"/>
          <w:szCs w:val="24"/>
          <w:lang w:eastAsia="ru-RU"/>
        </w:rPr>
        <w:t xml:space="preserve">Согласно актуальной версии Решения Россельхознадзора об установлении статусов регионов Российской Федерации по заразным болезням и условиям перемещения </w:t>
      </w:r>
      <w:r w:rsidRPr="005336FB">
        <w:rPr>
          <w:rFonts w:ascii="Times New Roman" w:eastAsia="Times New Roman" w:hAnsi="Times New Roman" w:cs="Times New Roman"/>
          <w:sz w:val="24"/>
          <w:szCs w:val="24"/>
          <w:lang w:eastAsia="ru-RU"/>
        </w:rPr>
        <w:lastRenderedPageBreak/>
        <w:t xml:space="preserve">подконтрольных </w:t>
      </w:r>
      <w:proofErr w:type="spellStart"/>
      <w:r w:rsidRPr="005336FB">
        <w:rPr>
          <w:rFonts w:ascii="Times New Roman" w:eastAsia="Times New Roman" w:hAnsi="Times New Roman" w:cs="Times New Roman"/>
          <w:sz w:val="24"/>
          <w:szCs w:val="24"/>
          <w:lang w:eastAsia="ru-RU"/>
        </w:rPr>
        <w:t>госветнадзору</w:t>
      </w:r>
      <w:proofErr w:type="spellEnd"/>
      <w:r w:rsidRPr="005336FB">
        <w:rPr>
          <w:rFonts w:ascii="Times New Roman" w:eastAsia="Times New Roman" w:hAnsi="Times New Roman" w:cs="Times New Roman"/>
          <w:sz w:val="24"/>
          <w:szCs w:val="24"/>
          <w:lang w:eastAsia="ru-RU"/>
        </w:rPr>
        <w:t xml:space="preserve"> товаров от 20.01.2017 территория Ленинградской области </w:t>
      </w:r>
      <w:r w:rsidRPr="005336FB">
        <w:rPr>
          <w:rFonts w:ascii="Times New Roman" w:eastAsia="Times New Roman" w:hAnsi="Times New Roman" w:cs="Times New Roman"/>
          <w:b/>
          <w:bCs/>
          <w:sz w:val="24"/>
          <w:szCs w:val="24"/>
          <w:lang w:eastAsia="ru-RU"/>
        </w:rPr>
        <w:t>имеет статус «благополучный, без вакцинации» по гриппу птиц и ВПГП (</w:t>
      </w:r>
      <w:r w:rsidRPr="005336FB">
        <w:rPr>
          <w:rFonts w:ascii="Times New Roman" w:eastAsia="Times New Roman" w:hAnsi="Times New Roman" w:cs="Times New Roman"/>
          <w:sz w:val="24"/>
          <w:szCs w:val="24"/>
          <w:lang w:eastAsia="ru-RU"/>
        </w:rPr>
        <w:t>реестровые записи соответственно №RU047-BR07120 и №RU047-VV06892).</w:t>
      </w:r>
    </w:p>
    <w:p w14:paraId="408CBF8A" w14:textId="77777777" w:rsidR="00B41519" w:rsidRDefault="00B41519"/>
    <w:sectPr w:rsidR="00B41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041B"/>
    <w:multiLevelType w:val="multilevel"/>
    <w:tmpl w:val="680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C6FDE"/>
    <w:multiLevelType w:val="multilevel"/>
    <w:tmpl w:val="B4B4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EF"/>
    <w:rsid w:val="005336FB"/>
    <w:rsid w:val="009B06EF"/>
    <w:rsid w:val="00B41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56FD"/>
  <w15:chartTrackingRefBased/>
  <w15:docId w15:val="{F6324481-D825-47D3-A7B4-E8CBFC77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33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6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3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36FB"/>
    <w:rPr>
      <w:b/>
      <w:bCs/>
    </w:rPr>
  </w:style>
  <w:style w:type="character" w:styleId="a5">
    <w:name w:val="Emphasis"/>
    <w:basedOn w:val="a0"/>
    <w:uiPriority w:val="20"/>
    <w:qFormat/>
    <w:rsid w:val="005336FB"/>
    <w:rPr>
      <w:i/>
      <w:iCs/>
    </w:rPr>
  </w:style>
  <w:style w:type="character" w:styleId="a6">
    <w:name w:val="Hyperlink"/>
    <w:basedOn w:val="a0"/>
    <w:uiPriority w:val="99"/>
    <w:unhideWhenUsed/>
    <w:rsid w:val="005336FB"/>
    <w:rPr>
      <w:color w:val="0563C1" w:themeColor="hyperlink"/>
      <w:u w:val="single"/>
    </w:rPr>
  </w:style>
  <w:style w:type="character" w:styleId="a7">
    <w:name w:val="Unresolved Mention"/>
    <w:basedOn w:val="a0"/>
    <w:uiPriority w:val="99"/>
    <w:semiHidden/>
    <w:unhideWhenUsed/>
    <w:rsid w:val="00533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3452">
      <w:bodyDiv w:val="1"/>
      <w:marLeft w:val="0"/>
      <w:marRight w:val="0"/>
      <w:marTop w:val="0"/>
      <w:marBottom w:val="0"/>
      <w:divBdr>
        <w:top w:val="none" w:sz="0" w:space="0" w:color="auto"/>
        <w:left w:val="none" w:sz="0" w:space="0" w:color="auto"/>
        <w:bottom w:val="none" w:sz="0" w:space="0" w:color="auto"/>
        <w:right w:val="none" w:sz="0" w:space="0" w:color="auto"/>
      </w:divBdr>
      <w:divsChild>
        <w:div w:id="557785261">
          <w:marLeft w:val="0"/>
          <w:marRight w:val="0"/>
          <w:marTop w:val="0"/>
          <w:marBottom w:val="0"/>
          <w:divBdr>
            <w:top w:val="none" w:sz="0" w:space="0" w:color="auto"/>
            <w:left w:val="none" w:sz="0" w:space="0" w:color="auto"/>
            <w:bottom w:val="none" w:sz="0" w:space="0" w:color="auto"/>
            <w:right w:val="none" w:sz="0" w:space="0" w:color="auto"/>
          </w:divBdr>
        </w:div>
        <w:div w:id="203979237">
          <w:marLeft w:val="0"/>
          <w:marRight w:val="0"/>
          <w:marTop w:val="0"/>
          <w:marBottom w:val="0"/>
          <w:divBdr>
            <w:top w:val="none" w:sz="0" w:space="0" w:color="auto"/>
            <w:left w:val="none" w:sz="0" w:space="0" w:color="auto"/>
            <w:bottom w:val="none" w:sz="0" w:space="0" w:color="auto"/>
            <w:right w:val="none" w:sz="0" w:space="0" w:color="auto"/>
          </w:divBdr>
        </w:div>
      </w:divsChild>
    </w:div>
    <w:div w:id="159977011">
      <w:bodyDiv w:val="1"/>
      <w:marLeft w:val="0"/>
      <w:marRight w:val="0"/>
      <w:marTop w:val="0"/>
      <w:marBottom w:val="0"/>
      <w:divBdr>
        <w:top w:val="none" w:sz="0" w:space="0" w:color="auto"/>
        <w:left w:val="none" w:sz="0" w:space="0" w:color="auto"/>
        <w:bottom w:val="none" w:sz="0" w:space="0" w:color="auto"/>
        <w:right w:val="none" w:sz="0" w:space="0" w:color="auto"/>
      </w:divBdr>
      <w:divsChild>
        <w:div w:id="1468208212">
          <w:marLeft w:val="0"/>
          <w:marRight w:val="0"/>
          <w:marTop w:val="0"/>
          <w:marBottom w:val="0"/>
          <w:divBdr>
            <w:top w:val="none" w:sz="0" w:space="0" w:color="auto"/>
            <w:left w:val="none" w:sz="0" w:space="0" w:color="auto"/>
            <w:bottom w:val="none" w:sz="0" w:space="0" w:color="auto"/>
            <w:right w:val="none" w:sz="0" w:space="0" w:color="auto"/>
          </w:divBdr>
        </w:div>
        <w:div w:id="192029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eterinary.lenobl.ru/ru/news/341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 Король</dc:creator>
  <cp:keywords/>
  <dc:description/>
  <cp:lastModifiedBy>Татьяна А. Король</cp:lastModifiedBy>
  <cp:revision>2</cp:revision>
  <dcterms:created xsi:type="dcterms:W3CDTF">2021-12-08T12:18:00Z</dcterms:created>
  <dcterms:modified xsi:type="dcterms:W3CDTF">2021-12-08T12:19:00Z</dcterms:modified>
</cp:coreProperties>
</file>