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46405" w:rsidRDefault="005E73E5" w:rsidP="00E4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326" w:rsidRDefault="00F360B7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7AA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87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D4" w:rsidRPr="002A6326">
        <w:rPr>
          <w:rFonts w:ascii="Times New Roman" w:hAnsi="Times New Roman" w:cs="Times New Roman"/>
          <w:b/>
          <w:sz w:val="28"/>
          <w:szCs w:val="28"/>
        </w:rPr>
        <w:t>202</w:t>
      </w:r>
      <w:r w:rsidR="00A87207">
        <w:rPr>
          <w:rFonts w:ascii="Times New Roman" w:hAnsi="Times New Roman" w:cs="Times New Roman"/>
          <w:b/>
          <w:sz w:val="28"/>
          <w:szCs w:val="28"/>
        </w:rPr>
        <w:t>4</w:t>
      </w:r>
      <w:r w:rsidR="005E73E5"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(изменениями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24.11.2022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DBF" w:rsidRP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1847-п</w:t>
      </w:r>
      <w:r w:rsidR="003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432D26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A87207">
        <w:rPr>
          <w:rFonts w:ascii="Times New Roman" w:hAnsi="Times New Roman" w:cs="Times New Roman"/>
          <w:sz w:val="28"/>
          <w:szCs w:val="28"/>
        </w:rPr>
        <w:t>4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7207">
        <w:rPr>
          <w:rFonts w:ascii="Times New Roman" w:hAnsi="Times New Roman" w:cs="Times New Roman"/>
          <w:sz w:val="28"/>
          <w:szCs w:val="28"/>
        </w:rPr>
        <w:t>44 406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</w:t>
      </w:r>
      <w:r w:rsidR="00A87207">
        <w:rPr>
          <w:rFonts w:ascii="Times New Roman" w:hAnsi="Times New Roman" w:cs="Times New Roman"/>
          <w:sz w:val="28"/>
          <w:szCs w:val="28"/>
        </w:rPr>
        <w:t>3 514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1187"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="00A87207">
        <w:rPr>
          <w:rFonts w:ascii="Times New Roman" w:hAnsi="Times New Roman" w:cs="Times New Roman"/>
          <w:sz w:val="28"/>
          <w:szCs w:val="28"/>
        </w:rPr>
        <w:t>10 892</w:t>
      </w:r>
      <w:r w:rsidR="005211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55AF" w:rsidRPr="00E955AF" w:rsidRDefault="00E955AF" w:rsidP="00E955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за 1 полугодие 2024 года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B5617E">
        <w:rPr>
          <w:rFonts w:ascii="Times New Roman" w:eastAsia="Calibri" w:hAnsi="Times New Roman" w:cs="Times New Roman"/>
          <w:sz w:val="28"/>
          <w:szCs w:val="28"/>
        </w:rPr>
        <w:t>13,3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млрд. руб., что на 3</w:t>
      </w:r>
      <w:r w:rsidR="00B5617E">
        <w:rPr>
          <w:rFonts w:ascii="Times New Roman" w:eastAsia="Calibri" w:hAnsi="Times New Roman" w:cs="Times New Roman"/>
          <w:sz w:val="28"/>
          <w:szCs w:val="28"/>
        </w:rPr>
        <w:t>2</w:t>
      </w:r>
      <w:r w:rsidRPr="00E955AF">
        <w:rPr>
          <w:rFonts w:ascii="Times New Roman" w:eastAsia="Calibri" w:hAnsi="Times New Roman" w:cs="Times New Roman"/>
          <w:sz w:val="28"/>
          <w:szCs w:val="28"/>
        </w:rPr>
        <w:t>% в действующих ценах больше, чем за аналогичный период.</w:t>
      </w:r>
    </w:p>
    <w:p w:rsidR="00E955AF" w:rsidRPr="00E955AF" w:rsidRDefault="00E955AF" w:rsidP="00432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>Отгрузка товаров собственного производства, выполнение работ и у</w:t>
      </w:r>
      <w:r w:rsidRPr="00E955AF">
        <w:rPr>
          <w:rFonts w:ascii="Times New Roman" w:eastAsia="Calibri" w:hAnsi="Times New Roman" w:cs="Times New Roman"/>
          <w:sz w:val="28"/>
          <w:szCs w:val="28"/>
        </w:rPr>
        <w:t>с</w:t>
      </w:r>
      <w:r w:rsidRPr="00E955AF">
        <w:rPr>
          <w:rFonts w:ascii="Times New Roman" w:eastAsia="Calibri" w:hAnsi="Times New Roman" w:cs="Times New Roman"/>
          <w:sz w:val="28"/>
          <w:szCs w:val="28"/>
        </w:rPr>
        <w:t>луг крупными и средними предприятиями Сланцевского района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 за 1 полуг</w:t>
      </w:r>
      <w:r w:rsidR="00B5617E">
        <w:rPr>
          <w:rFonts w:ascii="Times New Roman" w:eastAsia="Calibri" w:hAnsi="Times New Roman" w:cs="Times New Roman"/>
          <w:sz w:val="28"/>
          <w:szCs w:val="28"/>
        </w:rPr>
        <w:t>о</w:t>
      </w:r>
      <w:r w:rsidR="00B5617E">
        <w:rPr>
          <w:rFonts w:ascii="Times New Roman" w:eastAsia="Calibri" w:hAnsi="Times New Roman" w:cs="Times New Roman"/>
          <w:sz w:val="28"/>
          <w:szCs w:val="28"/>
        </w:rPr>
        <w:lastRenderedPageBreak/>
        <w:t>дие 2024 года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увеличилась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5617E">
        <w:rPr>
          <w:rFonts w:ascii="Times New Roman" w:eastAsia="Calibri" w:hAnsi="Times New Roman" w:cs="Times New Roman"/>
          <w:sz w:val="28"/>
          <w:szCs w:val="28"/>
        </w:rPr>
        <w:t>36,6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%  по сравнению с аналогичным период</w:t>
      </w:r>
      <w:r w:rsidR="00432D26">
        <w:rPr>
          <w:rFonts w:ascii="Times New Roman" w:eastAsia="Calibri" w:hAnsi="Times New Roman" w:cs="Times New Roman"/>
          <w:sz w:val="28"/>
          <w:szCs w:val="28"/>
        </w:rPr>
        <w:t>ом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прошлого года и составила </w:t>
      </w:r>
      <w:r w:rsidR="00B5617E">
        <w:rPr>
          <w:rFonts w:ascii="Times New Roman" w:eastAsia="Calibri" w:hAnsi="Times New Roman" w:cs="Times New Roman"/>
          <w:sz w:val="28"/>
          <w:szCs w:val="28"/>
        </w:rPr>
        <w:t>10,7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млрд. руб.</w:t>
      </w:r>
    </w:p>
    <w:p w:rsidR="00E955AF" w:rsidRPr="00E955AF" w:rsidRDefault="00E955AF" w:rsidP="00432D26">
      <w:pPr>
        <w:pStyle w:val="af4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>В структуре объемов отгрузки по видам деятельности преобладают о</w:t>
      </w:r>
      <w:r w:rsidRPr="00E955AF">
        <w:rPr>
          <w:rFonts w:ascii="Times New Roman" w:eastAsia="Calibri" w:hAnsi="Times New Roman" w:cs="Times New Roman"/>
          <w:sz w:val="28"/>
          <w:szCs w:val="28"/>
        </w:rPr>
        <w:t>б</w:t>
      </w:r>
      <w:r w:rsidRPr="00E955AF">
        <w:rPr>
          <w:rFonts w:ascii="Times New Roman" w:eastAsia="Calibri" w:hAnsi="Times New Roman" w:cs="Times New Roman"/>
          <w:sz w:val="28"/>
          <w:szCs w:val="28"/>
        </w:rPr>
        <w:t>рабатывающие производства –</w:t>
      </w:r>
      <w:r w:rsidR="003F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17E">
        <w:rPr>
          <w:rFonts w:ascii="Times New Roman" w:eastAsia="Calibri" w:hAnsi="Times New Roman" w:cs="Times New Roman"/>
          <w:sz w:val="28"/>
          <w:szCs w:val="28"/>
        </w:rPr>
        <w:t>80</w:t>
      </w:r>
      <w:r w:rsidRPr="00E955A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955AF" w:rsidRPr="00E955AF" w:rsidRDefault="00E955AF" w:rsidP="004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в целом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за 1 полугодие 2024 года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23,8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% по сравнению с аналогичным периодом </w:t>
      </w:r>
      <w:r w:rsidR="00B5617E">
        <w:rPr>
          <w:rFonts w:ascii="Times New Roman" w:eastAsia="Calibri" w:hAnsi="Times New Roman" w:cs="Times New Roman"/>
          <w:sz w:val="28"/>
          <w:szCs w:val="28"/>
        </w:rPr>
        <w:t xml:space="preserve">прошлого года 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 w:rsidR="00B5617E">
        <w:rPr>
          <w:rFonts w:ascii="Times New Roman" w:eastAsia="Calibri" w:hAnsi="Times New Roman" w:cs="Times New Roman"/>
          <w:sz w:val="28"/>
          <w:szCs w:val="28"/>
        </w:rPr>
        <w:t>72 363,10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B5617E" w:rsidRPr="00B5617E" w:rsidRDefault="00E955AF" w:rsidP="00B5617E">
      <w:pPr>
        <w:tabs>
          <w:tab w:val="left" w:pos="6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Предприятиями и организациями Сланцевского муниципального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>она всех видов экономической деятельности (без субъектов малого предпр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нимательства) за 1 </w:t>
      </w:r>
      <w:r w:rsidR="00B5617E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года инвестировано в экономику </w:t>
      </w:r>
      <w:r w:rsidR="00B5617E" w:rsidRPr="00B5617E">
        <w:rPr>
          <w:rFonts w:ascii="Times New Roman" w:hAnsi="Times New Roman" w:cs="Times New Roman"/>
          <w:sz w:val="28"/>
          <w:szCs w:val="28"/>
        </w:rPr>
        <w:t>473,3</w:t>
      </w:r>
      <w:r w:rsidRPr="00E955AF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B5617E" w:rsidRPr="00B5617E">
        <w:rPr>
          <w:rFonts w:ascii="Times New Roman" w:hAnsi="Times New Roman" w:cs="Times New Roman"/>
          <w:sz w:val="28"/>
          <w:szCs w:val="28"/>
        </w:rPr>
        <w:t xml:space="preserve">что на 26,4 % меньше, чем за 1 полугодие 2023  года. </w:t>
      </w:r>
    </w:p>
    <w:p w:rsidR="00B5617E" w:rsidRPr="00B5617E" w:rsidRDefault="00B5617E" w:rsidP="00B561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7E">
        <w:rPr>
          <w:rFonts w:ascii="Times New Roman" w:hAnsi="Times New Roman" w:cs="Times New Roman"/>
          <w:sz w:val="28"/>
          <w:szCs w:val="28"/>
        </w:rPr>
        <w:t>Предприятиями обрабатывающих производств за 1 полугодие 2024 г</w:t>
      </w:r>
      <w:r w:rsidRPr="00B5617E">
        <w:rPr>
          <w:rFonts w:ascii="Times New Roman" w:hAnsi="Times New Roman" w:cs="Times New Roman"/>
          <w:sz w:val="28"/>
          <w:szCs w:val="28"/>
        </w:rPr>
        <w:t>о</w:t>
      </w:r>
      <w:r w:rsidRPr="00B5617E">
        <w:rPr>
          <w:rFonts w:ascii="Times New Roman" w:hAnsi="Times New Roman" w:cs="Times New Roman"/>
          <w:sz w:val="28"/>
          <w:szCs w:val="28"/>
        </w:rPr>
        <w:t>да инвестировано 105,7 млн. руб., что на 72,7 % меньше, чем за 1 полугодие 2023  года.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Градообразующие предприятия: 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«ЦЕСЛА» (Производство цемента), ООО «СЛАНЦЫ» (Производство эле</w:t>
      </w:r>
      <w:r w:rsidRPr="00E955AF">
        <w:rPr>
          <w:rFonts w:ascii="Times New Roman" w:hAnsi="Times New Roman" w:cs="Times New Roman"/>
          <w:sz w:val="28"/>
          <w:szCs w:val="28"/>
        </w:rPr>
        <w:t>к</w:t>
      </w:r>
      <w:r w:rsidRPr="00E955AF">
        <w:rPr>
          <w:rFonts w:ascii="Times New Roman" w:hAnsi="Times New Roman" w:cs="Times New Roman"/>
          <w:sz w:val="28"/>
          <w:szCs w:val="28"/>
        </w:rPr>
        <w:t>троэнергии тепловыми электростанциями, в том числе деятельность по обе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печению работоспособности электростанций),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(Производство цемента).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сегодня является одним из крупных промышленных предприятий стройиндустрии Сланцевского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 xml:space="preserve">она, завод создан в 1960 году.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 «Сланцевский цементный завод «Цесла» работает по энергосберегающей технологии (сухой способ производств) и специализируется на в</w:t>
      </w:r>
      <w:r w:rsidRPr="00E955AF">
        <w:rPr>
          <w:rFonts w:ascii="Times New Roman" w:hAnsi="Times New Roman" w:cs="Times New Roman"/>
          <w:sz w:val="28"/>
          <w:szCs w:val="28"/>
        </w:rPr>
        <w:t>ы</w:t>
      </w:r>
      <w:r w:rsidRPr="00E955AF">
        <w:rPr>
          <w:rFonts w:ascii="Times New Roman" w:hAnsi="Times New Roman" w:cs="Times New Roman"/>
          <w:sz w:val="28"/>
          <w:szCs w:val="28"/>
        </w:rPr>
        <w:t>пуске марок цемента, пользующихся повышенным спросом на потребител</w:t>
      </w:r>
      <w:r w:rsidRPr="00E955AF">
        <w:rPr>
          <w:rFonts w:ascii="Times New Roman" w:hAnsi="Times New Roman" w:cs="Times New Roman"/>
          <w:sz w:val="28"/>
          <w:szCs w:val="28"/>
        </w:rPr>
        <w:t>ь</w:t>
      </w:r>
      <w:r w:rsidRPr="00E955AF">
        <w:rPr>
          <w:rFonts w:ascii="Times New Roman" w:hAnsi="Times New Roman" w:cs="Times New Roman"/>
          <w:sz w:val="28"/>
          <w:szCs w:val="28"/>
        </w:rPr>
        <w:t xml:space="preserve">ском рынке (М500 ДО, М400 ДО, М400Д20 и др.).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0C0E45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 увеличилась  по сравнению с аналогичным периодом прошлого года на 14 человек и составила </w:t>
      </w:r>
      <w:r w:rsidR="000C0E45">
        <w:rPr>
          <w:rFonts w:ascii="Times New Roman" w:hAnsi="Times New Roman" w:cs="Times New Roman"/>
          <w:sz w:val="28"/>
          <w:szCs w:val="28"/>
        </w:rPr>
        <w:t>360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(за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 среднесписочная численность составляла 349 человека).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Среднемесячная зарабо</w:t>
      </w:r>
      <w:r w:rsidR="000C0E45">
        <w:rPr>
          <w:rFonts w:ascii="Times New Roman" w:hAnsi="Times New Roman" w:cs="Times New Roman"/>
          <w:sz w:val="28"/>
          <w:szCs w:val="28"/>
        </w:rPr>
        <w:t>тная плата на предприятии за 1 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года увеличилась по отношению к 1 </w:t>
      </w:r>
      <w:r w:rsidR="000C0E45">
        <w:rPr>
          <w:rFonts w:ascii="Times New Roman" w:hAnsi="Times New Roman" w:cs="Times New Roman"/>
          <w:sz w:val="28"/>
          <w:szCs w:val="28"/>
        </w:rPr>
        <w:t>полугодию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23 году на 44</w:t>
      </w:r>
      <w:r w:rsidRPr="00E955AF">
        <w:rPr>
          <w:rFonts w:ascii="Times New Roman" w:hAnsi="Times New Roman" w:cs="Times New Roman"/>
          <w:sz w:val="28"/>
          <w:szCs w:val="28"/>
        </w:rPr>
        <w:t xml:space="preserve"> % и состав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ла </w:t>
      </w:r>
      <w:r w:rsidR="000C0E45">
        <w:rPr>
          <w:rFonts w:ascii="Times New Roman" w:hAnsi="Times New Roman" w:cs="Times New Roman"/>
          <w:sz w:val="28"/>
          <w:szCs w:val="28"/>
        </w:rPr>
        <w:t>116 705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рубля (за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 среднемесячная заработная плата составляла </w:t>
      </w:r>
      <w:r w:rsidR="000C0E45">
        <w:rPr>
          <w:rFonts w:ascii="Times New Roman" w:hAnsi="Times New Roman" w:cs="Times New Roman"/>
          <w:sz w:val="28"/>
          <w:szCs w:val="28"/>
        </w:rPr>
        <w:t>81 217,0</w:t>
      </w:r>
      <w:r w:rsidRPr="00E955AF">
        <w:rPr>
          <w:rFonts w:ascii="Times New Roman" w:hAnsi="Times New Roman" w:cs="Times New Roman"/>
          <w:sz w:val="28"/>
          <w:szCs w:val="28"/>
        </w:rPr>
        <w:t xml:space="preserve">  рублей).</w:t>
      </w:r>
    </w:p>
    <w:p w:rsidR="000C0E45" w:rsidRPr="000C0E45" w:rsidRDefault="000C0E45" w:rsidP="000C0E45">
      <w:pPr>
        <w:pStyle w:val="a5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E4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0C0E4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C0E45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») - это высокотехнологичное цементное предприятие нового поколения, запуск которого состоялся в ноябре 2010 года. С 10.07.2024 ООО «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Петербургц</w:t>
      </w:r>
      <w:r w:rsidRPr="000C0E45">
        <w:rPr>
          <w:rFonts w:ascii="Times New Roman" w:hAnsi="Times New Roman" w:cs="Times New Roman"/>
          <w:sz w:val="28"/>
          <w:szCs w:val="28"/>
        </w:rPr>
        <w:t>е</w:t>
      </w:r>
      <w:r w:rsidRPr="000C0E45">
        <w:rPr>
          <w:rFonts w:ascii="Times New Roman" w:hAnsi="Times New Roman" w:cs="Times New Roman"/>
          <w:sz w:val="28"/>
          <w:szCs w:val="28"/>
        </w:rPr>
        <w:lastRenderedPageBreak/>
        <w:t>мент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» реорганизовано путем присоединения к АО «ЦЕМРОС» с наименов</w:t>
      </w:r>
      <w:r w:rsidRPr="000C0E45">
        <w:rPr>
          <w:rFonts w:ascii="Times New Roman" w:hAnsi="Times New Roman" w:cs="Times New Roman"/>
          <w:sz w:val="28"/>
          <w:szCs w:val="28"/>
        </w:rPr>
        <w:t>а</w:t>
      </w:r>
      <w:r w:rsidRPr="000C0E45">
        <w:rPr>
          <w:rFonts w:ascii="Times New Roman" w:hAnsi="Times New Roman" w:cs="Times New Roman"/>
          <w:sz w:val="28"/>
          <w:szCs w:val="28"/>
        </w:rPr>
        <w:t xml:space="preserve">нием Петербургский филиал АО «ЦЕМРОС». </w:t>
      </w:r>
    </w:p>
    <w:p w:rsidR="000C0E45" w:rsidRPr="000C0E45" w:rsidRDefault="000C0E45" w:rsidP="000C0E45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E45">
        <w:rPr>
          <w:rFonts w:ascii="Times New Roman" w:hAnsi="Times New Roman" w:cs="Times New Roman"/>
          <w:sz w:val="28"/>
          <w:szCs w:val="28"/>
        </w:rPr>
        <w:t xml:space="preserve">Завод оборудован самыми современными производственными линиями датской компании 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FLSmidth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>, мирового лидера по изготовлению оборудов</w:t>
      </w:r>
      <w:r w:rsidRPr="000C0E45">
        <w:rPr>
          <w:rFonts w:ascii="Times New Roman" w:hAnsi="Times New Roman" w:cs="Times New Roman"/>
          <w:sz w:val="28"/>
          <w:szCs w:val="28"/>
        </w:rPr>
        <w:t>а</w:t>
      </w:r>
      <w:r w:rsidRPr="000C0E45">
        <w:rPr>
          <w:rFonts w:ascii="Times New Roman" w:hAnsi="Times New Roman" w:cs="Times New Roman"/>
          <w:sz w:val="28"/>
          <w:szCs w:val="28"/>
        </w:rPr>
        <w:t>ния для производства цемента. Применяется наиболее эффективная сухая технология производства, которая предполагает частичное использование отходов производства сланца при изготовлении цемента, что обеспечило б</w:t>
      </w:r>
      <w:r w:rsidRPr="000C0E45">
        <w:rPr>
          <w:rFonts w:ascii="Times New Roman" w:hAnsi="Times New Roman" w:cs="Times New Roman"/>
          <w:sz w:val="28"/>
          <w:szCs w:val="28"/>
        </w:rPr>
        <w:t>о</w:t>
      </w:r>
      <w:r w:rsidRPr="000C0E45">
        <w:rPr>
          <w:rFonts w:ascii="Times New Roman" w:hAnsi="Times New Roman" w:cs="Times New Roman"/>
          <w:sz w:val="28"/>
          <w:szCs w:val="28"/>
        </w:rPr>
        <w:t xml:space="preserve">лее чем 40% необходимого энергопотребления производственных линий. Благодаря этому цементный завод один из самых </w:t>
      </w:r>
      <w:proofErr w:type="spellStart"/>
      <w:r w:rsidRPr="000C0E45">
        <w:rPr>
          <w:rFonts w:ascii="Times New Roman" w:hAnsi="Times New Roman" w:cs="Times New Roman"/>
          <w:sz w:val="28"/>
          <w:szCs w:val="28"/>
        </w:rPr>
        <w:t>энерго-эффективных</w:t>
      </w:r>
      <w:proofErr w:type="spellEnd"/>
      <w:r w:rsidRPr="000C0E45">
        <w:rPr>
          <w:rFonts w:ascii="Times New Roman" w:hAnsi="Times New Roman" w:cs="Times New Roman"/>
          <w:sz w:val="28"/>
          <w:szCs w:val="28"/>
        </w:rPr>
        <w:t xml:space="preserve"> зав</w:t>
      </w:r>
      <w:r w:rsidRPr="000C0E45">
        <w:rPr>
          <w:rFonts w:ascii="Times New Roman" w:hAnsi="Times New Roman" w:cs="Times New Roman"/>
          <w:sz w:val="28"/>
          <w:szCs w:val="28"/>
        </w:rPr>
        <w:t>о</w:t>
      </w:r>
      <w:r w:rsidRPr="000C0E45">
        <w:rPr>
          <w:rFonts w:ascii="Times New Roman" w:hAnsi="Times New Roman" w:cs="Times New Roman"/>
          <w:sz w:val="28"/>
          <w:szCs w:val="28"/>
        </w:rPr>
        <w:t xml:space="preserve">дов в мире. </w:t>
      </w:r>
    </w:p>
    <w:p w:rsidR="00E955AF" w:rsidRPr="00E955AF" w:rsidRDefault="00E955AF" w:rsidP="000C0E45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года увеличилась  по сравнению с аналогичным периодом  прошлого года на </w:t>
      </w:r>
      <w:r w:rsidR="000C0E45">
        <w:rPr>
          <w:rFonts w:ascii="Times New Roman" w:hAnsi="Times New Roman" w:cs="Times New Roman"/>
          <w:sz w:val="28"/>
          <w:szCs w:val="28"/>
        </w:rPr>
        <w:t>19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 и составила 5</w:t>
      </w:r>
      <w:r w:rsidR="000C0E45">
        <w:rPr>
          <w:rFonts w:ascii="Times New Roman" w:hAnsi="Times New Roman" w:cs="Times New Roman"/>
          <w:sz w:val="28"/>
          <w:szCs w:val="28"/>
        </w:rPr>
        <w:t>48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 (за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 среднесписочная численность составляла </w:t>
      </w:r>
      <w:r w:rsidR="000C0E45">
        <w:rPr>
          <w:rFonts w:ascii="Times New Roman" w:hAnsi="Times New Roman" w:cs="Times New Roman"/>
          <w:sz w:val="28"/>
          <w:szCs w:val="28"/>
        </w:rPr>
        <w:t>529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на предприятии 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года увеличилась по отношению к аналогичному периоду прошлого года на </w:t>
      </w:r>
      <w:r w:rsidR="000C0E45">
        <w:rPr>
          <w:rFonts w:ascii="Times New Roman" w:hAnsi="Times New Roman" w:cs="Times New Roman"/>
          <w:sz w:val="28"/>
          <w:szCs w:val="28"/>
        </w:rPr>
        <w:t>37</w:t>
      </w:r>
      <w:r w:rsidRPr="00E955AF">
        <w:rPr>
          <w:rFonts w:ascii="Times New Roman" w:hAnsi="Times New Roman" w:cs="Times New Roman"/>
          <w:sz w:val="28"/>
          <w:szCs w:val="28"/>
        </w:rPr>
        <w:t xml:space="preserve"> % и составила  </w:t>
      </w:r>
      <w:r w:rsidR="000C0E45">
        <w:rPr>
          <w:rFonts w:ascii="Times New Roman" w:hAnsi="Times New Roman" w:cs="Times New Roman"/>
          <w:sz w:val="28"/>
          <w:szCs w:val="28"/>
        </w:rPr>
        <w:t>94 405,08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 (среднемесячная заработная плата 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года составляла </w:t>
      </w:r>
      <w:r w:rsidR="000C0E45">
        <w:rPr>
          <w:rFonts w:ascii="Times New Roman" w:hAnsi="Times New Roman" w:cs="Times New Roman"/>
          <w:sz w:val="28"/>
          <w:szCs w:val="28"/>
        </w:rPr>
        <w:t>69 118,7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рейших предприятий города ОАО «Завод «Сланцы». С 1952 года занималось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сланцепереработкой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с целью получения бытового газа, сланцевого масла и т.д., на предприятии трудилось более 2 тыс. человек. В связи с закрытием шахт предприятие изменило свое направление деятельности и номенклатуру продукции. Основные виды продукции: электроэнергия,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, масло сланцевое, смолы полимерные, сольвент, сольвент каменноугольный, жидкие продукты пиролиза.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ООО «СЛАНЦЫ» за 1 </w:t>
      </w:r>
      <w:r w:rsidR="000C0E45">
        <w:rPr>
          <w:rFonts w:ascii="Times New Roman" w:hAnsi="Times New Roman" w:cs="Times New Roman"/>
          <w:sz w:val="28"/>
          <w:szCs w:val="28"/>
        </w:rPr>
        <w:t>пол</w:t>
      </w:r>
      <w:r w:rsidR="000C0E45">
        <w:rPr>
          <w:rFonts w:ascii="Times New Roman" w:hAnsi="Times New Roman" w:cs="Times New Roman"/>
          <w:sz w:val="28"/>
          <w:szCs w:val="28"/>
        </w:rPr>
        <w:t>у</w:t>
      </w:r>
      <w:r w:rsidR="000C0E45">
        <w:rPr>
          <w:rFonts w:ascii="Times New Roman" w:hAnsi="Times New Roman" w:cs="Times New Roman"/>
          <w:sz w:val="28"/>
          <w:szCs w:val="28"/>
        </w:rPr>
        <w:t>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 уменьшилась по сравнению с аналогичным периодом на 25 человек и составила </w:t>
      </w:r>
      <w:r w:rsidR="000C0E45">
        <w:rPr>
          <w:rFonts w:ascii="Times New Roman" w:hAnsi="Times New Roman" w:cs="Times New Roman"/>
          <w:sz w:val="28"/>
          <w:szCs w:val="28"/>
        </w:rPr>
        <w:t>304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0E45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 (за 1 </w:t>
      </w:r>
      <w:r w:rsidR="000C0E45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 среднесписочная численность составляла </w:t>
      </w:r>
      <w:r w:rsidR="000C0E45">
        <w:rPr>
          <w:rFonts w:ascii="Times New Roman" w:hAnsi="Times New Roman" w:cs="Times New Roman"/>
          <w:sz w:val="28"/>
          <w:szCs w:val="28"/>
        </w:rPr>
        <w:t>329</w:t>
      </w:r>
      <w:r w:rsidRPr="00E955AF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на предприятии за 1 </w:t>
      </w:r>
      <w:r w:rsidR="00CE7277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2024 года увеличилась по отношению к 1 </w:t>
      </w:r>
      <w:r w:rsidR="00CE7277">
        <w:rPr>
          <w:rFonts w:ascii="Times New Roman" w:hAnsi="Times New Roman" w:cs="Times New Roman"/>
          <w:sz w:val="28"/>
          <w:szCs w:val="28"/>
        </w:rPr>
        <w:t>полугодию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году на </w:t>
      </w:r>
      <w:r w:rsidR="00CE7277">
        <w:rPr>
          <w:rFonts w:ascii="Times New Roman" w:hAnsi="Times New Roman" w:cs="Times New Roman"/>
          <w:sz w:val="28"/>
          <w:szCs w:val="28"/>
        </w:rPr>
        <w:t>20</w:t>
      </w:r>
      <w:r w:rsidRPr="00E955AF">
        <w:rPr>
          <w:rFonts w:ascii="Times New Roman" w:hAnsi="Times New Roman" w:cs="Times New Roman"/>
          <w:sz w:val="28"/>
          <w:szCs w:val="28"/>
        </w:rPr>
        <w:t xml:space="preserve"> % и состав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ла  </w:t>
      </w:r>
      <w:r w:rsidR="00CE7277">
        <w:rPr>
          <w:rFonts w:ascii="Times New Roman" w:hAnsi="Times New Roman" w:cs="Times New Roman"/>
          <w:sz w:val="28"/>
          <w:szCs w:val="28"/>
        </w:rPr>
        <w:t>44 370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E7277">
        <w:rPr>
          <w:rFonts w:ascii="Times New Roman" w:hAnsi="Times New Roman" w:cs="Times New Roman"/>
          <w:sz w:val="28"/>
          <w:szCs w:val="28"/>
        </w:rPr>
        <w:t>ей</w:t>
      </w:r>
      <w:r w:rsidRPr="00E955AF">
        <w:rPr>
          <w:rFonts w:ascii="Times New Roman" w:hAnsi="Times New Roman" w:cs="Times New Roman"/>
          <w:sz w:val="28"/>
          <w:szCs w:val="28"/>
        </w:rPr>
        <w:t xml:space="preserve"> (в 1 </w:t>
      </w:r>
      <w:r w:rsidR="00CE7277">
        <w:rPr>
          <w:rFonts w:ascii="Times New Roman" w:hAnsi="Times New Roman" w:cs="Times New Roman"/>
          <w:sz w:val="28"/>
          <w:szCs w:val="28"/>
        </w:rPr>
        <w:t>полугодие</w:t>
      </w:r>
      <w:r w:rsidRPr="00E955AF">
        <w:rPr>
          <w:rFonts w:ascii="Times New Roman" w:hAnsi="Times New Roman" w:cs="Times New Roman"/>
          <w:sz w:val="28"/>
          <w:szCs w:val="28"/>
        </w:rPr>
        <w:t xml:space="preserve"> 2023 года среднемесячная заработная плата составляла </w:t>
      </w:r>
      <w:r w:rsidR="00CE7277">
        <w:rPr>
          <w:rFonts w:ascii="Times New Roman" w:hAnsi="Times New Roman" w:cs="Times New Roman"/>
          <w:sz w:val="28"/>
          <w:szCs w:val="28"/>
        </w:rPr>
        <w:t>37 085</w:t>
      </w:r>
      <w:r w:rsidRPr="00E955A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793B53" w:rsidRPr="00793B53" w:rsidRDefault="00793B53" w:rsidP="00793B53">
      <w:pPr>
        <w:numPr>
          <w:ilvl w:val="1"/>
          <w:numId w:val="19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На территории Сланцевского района в сфере агропромышленного производства осуществляют деятельность 3 </w:t>
      </w:r>
      <w:proofErr w:type="gramStart"/>
      <w:r w:rsidRPr="00793B5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793B53">
        <w:rPr>
          <w:rFonts w:ascii="Times New Roman" w:hAnsi="Times New Roman" w:cs="Times New Roman"/>
          <w:sz w:val="28"/>
          <w:szCs w:val="28"/>
        </w:rPr>
        <w:t xml:space="preserve"> предприятия: АО «Родина»,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432D26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предприятий пищевой и перерабатывающей промышленности: ИП Грязнова Т.Н., ООО «</w:t>
      </w:r>
      <w:proofErr w:type="spellStart"/>
      <w:r w:rsidR="00793B53" w:rsidRPr="00793B53">
        <w:rPr>
          <w:rFonts w:ascii="Times New Roman" w:hAnsi="Times New Roman" w:cs="Times New Roman"/>
          <w:sz w:val="28"/>
          <w:szCs w:val="28"/>
        </w:rPr>
        <w:t>Галакс</w:t>
      </w:r>
      <w:proofErr w:type="spellEnd"/>
      <w:r w:rsidR="00793B53" w:rsidRPr="00793B53">
        <w:rPr>
          <w:rFonts w:ascii="Times New Roman" w:hAnsi="Times New Roman" w:cs="Times New Roman"/>
          <w:sz w:val="28"/>
          <w:szCs w:val="28"/>
        </w:rPr>
        <w:t xml:space="preserve">», ООО «Нар», ООО «Русский промышленник», </w:t>
      </w:r>
      <w:r w:rsidRPr="00432D26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D26">
        <w:rPr>
          <w:rFonts w:ascii="Times New Roman" w:hAnsi="Times New Roman" w:cs="Times New Roman"/>
          <w:sz w:val="28"/>
          <w:szCs w:val="28"/>
        </w:rPr>
        <w:t>Чудской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26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3B53" w:rsidRPr="00793B53">
        <w:rPr>
          <w:rFonts w:ascii="Times New Roman" w:hAnsi="Times New Roman" w:cs="Times New Roman"/>
          <w:sz w:val="28"/>
          <w:szCs w:val="28"/>
        </w:rPr>
        <w:t>и предприятие по разведению радужной форели – ООО «</w:t>
      </w:r>
      <w:proofErr w:type="spellStart"/>
      <w:r w:rsidR="00793B53" w:rsidRPr="00793B53">
        <w:rPr>
          <w:rFonts w:ascii="Times New Roman" w:hAnsi="Times New Roman" w:cs="Times New Roman"/>
          <w:sz w:val="28"/>
          <w:szCs w:val="28"/>
        </w:rPr>
        <w:t>Гальян</w:t>
      </w:r>
      <w:proofErr w:type="spellEnd"/>
      <w:r w:rsidR="00793B53"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lastRenderedPageBreak/>
        <w:t xml:space="preserve">Среднесписочная численность занятых на сельскохозяйственных предприятиях молочного направления составила 271 человек, среднемесячная заработная плата </w:t>
      </w:r>
      <w:r w:rsidR="00B2335B">
        <w:rPr>
          <w:rFonts w:ascii="Times New Roman" w:hAnsi="Times New Roman" w:cs="Times New Roman"/>
          <w:sz w:val="28"/>
          <w:szCs w:val="28"/>
        </w:rPr>
        <w:t>-</w:t>
      </w:r>
      <w:r w:rsidRPr="00793B53">
        <w:rPr>
          <w:rFonts w:ascii="Times New Roman" w:hAnsi="Times New Roman" w:cs="Times New Roman"/>
          <w:sz w:val="28"/>
          <w:szCs w:val="28"/>
        </w:rPr>
        <w:t xml:space="preserve"> 44 403 рублей.</w:t>
      </w:r>
    </w:p>
    <w:p w:rsidR="00793B53" w:rsidRPr="00793B53" w:rsidRDefault="00B2335B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</w:t>
      </w:r>
      <w:r w:rsidR="00793B53" w:rsidRPr="00793B53">
        <w:rPr>
          <w:rFonts w:ascii="Times New Roman" w:hAnsi="Times New Roman" w:cs="Times New Roman"/>
          <w:sz w:val="28"/>
          <w:szCs w:val="28"/>
        </w:rPr>
        <w:t>2024 поголовье КРС в сельскохозяйственных организациях Сланцевского муниципального района составило 5</w:t>
      </w:r>
      <w:r>
        <w:rPr>
          <w:rFonts w:ascii="Times New Roman" w:hAnsi="Times New Roman" w:cs="Times New Roman"/>
          <w:sz w:val="28"/>
          <w:szCs w:val="28"/>
        </w:rPr>
        <w:t>376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коров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2196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голов.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Основное направление деятельности сельскохозяйственного предприятия - молочное животноводство. Растениеводством хозяйство занимается для обеспечения собственных нужд, в основном для создания кормовой базы.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Для успешного проведения весенних полевых работ предприятие полностью было обеспечено необходимым количеством минеральных удобрений и семенами зерновых, однолетних и многолетних трав.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Сланцевского района ведут активную подготовку к проведению весенних полевых работ. 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Яровой сев по сельскохозяйственным предприятиям района проведён на площади 1733 га.  Сев озимых зерновых составил 503 га (АО «Родина» 173 га пшеница,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» 330 га, в том числе 200 га  пшеница, 130 га  рапс) и увеличен на 83 га к уровню прошлого года. Гибели озимых культур не допущено.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Яровые зерновые культуры будут размещены на площади 1283 га.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Общая посевная площадь составит 4957 га.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На территории Сланцевского района развиваются малые формы хозяйствования, на налоговом учете состоит 44 крестьянское (фермерское) хозяйство. Порядка 1200 граждан ведут личное подсобное хозяйство.</w:t>
      </w:r>
    </w:p>
    <w:p w:rsidR="00793B53" w:rsidRPr="00B2335B" w:rsidRDefault="00B2335B" w:rsidP="00793B53">
      <w:pPr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35B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793B53" w:rsidRPr="00B2335B">
        <w:rPr>
          <w:rFonts w:ascii="Times New Roman" w:hAnsi="Times New Roman" w:cs="Times New Roman"/>
          <w:sz w:val="28"/>
          <w:szCs w:val="28"/>
        </w:rPr>
        <w:t xml:space="preserve">реализация программы «Ленинградский гектар». По результатам конкурсных отборов с момента </w:t>
      </w:r>
      <w:r>
        <w:rPr>
          <w:rFonts w:ascii="Times New Roman" w:hAnsi="Times New Roman" w:cs="Times New Roman"/>
          <w:sz w:val="28"/>
          <w:szCs w:val="28"/>
        </w:rPr>
        <w:t xml:space="preserve">начала действия </w:t>
      </w:r>
      <w:r w:rsidR="00793B53" w:rsidRPr="00B2335B">
        <w:rPr>
          <w:rFonts w:ascii="Times New Roman" w:hAnsi="Times New Roman" w:cs="Times New Roman"/>
          <w:sz w:val="28"/>
          <w:szCs w:val="28"/>
        </w:rPr>
        <w:t xml:space="preserve">программы (2019 год) на территории Сланцевского района предоставлено 32 земельных участка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93B53" w:rsidRPr="00B2335B">
        <w:rPr>
          <w:rFonts w:ascii="Times New Roman" w:hAnsi="Times New Roman" w:cs="Times New Roman"/>
          <w:sz w:val="28"/>
          <w:szCs w:val="28"/>
        </w:rPr>
        <w:t>196 га 31 фермеру и получено 27 грантов в сумме до 3 млн. рублей (всего 81 млн</w:t>
      </w:r>
      <w:proofErr w:type="gramStart"/>
      <w:r w:rsidR="00793B53" w:rsidRPr="00B233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3B53" w:rsidRPr="00B2335B">
        <w:rPr>
          <w:rFonts w:ascii="Times New Roman" w:hAnsi="Times New Roman" w:cs="Times New Roman"/>
          <w:sz w:val="28"/>
          <w:szCs w:val="28"/>
        </w:rPr>
        <w:t xml:space="preserve">уб.) и право на получение всех видов субсидий, на которые могут претендовать сельскохозяйственные товаропроизводители. </w:t>
      </w:r>
    </w:p>
    <w:p w:rsidR="000477F8" w:rsidRPr="00CC591E" w:rsidRDefault="000477F8" w:rsidP="004B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FCA" w:rsidRDefault="00671FCA" w:rsidP="00E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Сланцевск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695,5 км, в том чи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ле: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 дорог регионального значения;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18,3 км дорог местного значения Сланцевского муниципального ра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 дорог местного значения Сланцевского городского поселения;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 дорог местного значения сельских поселений.</w:t>
      </w:r>
    </w:p>
    <w:p w:rsidR="00793B53" w:rsidRDefault="00793B53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</w:pP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A269BF" w:rsidRDefault="00D910EE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BF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Сланцевского района, создание условий для привлечения частных инвестиций и создания новых производств и рабочих мест, рост доходов и повышение благосостояния населения является одной из важнейших задач.</w:t>
      </w:r>
    </w:p>
    <w:p w:rsidR="003F7DBF" w:rsidRPr="00B5617E" w:rsidRDefault="00793B53" w:rsidP="003F7DBF">
      <w:pPr>
        <w:tabs>
          <w:tab w:val="left" w:pos="6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B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F7DBF" w:rsidRPr="00E955AF">
        <w:rPr>
          <w:rFonts w:ascii="Times New Roman" w:hAnsi="Times New Roman" w:cs="Times New Roman"/>
          <w:sz w:val="28"/>
          <w:szCs w:val="28"/>
        </w:rPr>
        <w:t xml:space="preserve">1 </w:t>
      </w:r>
      <w:r w:rsidR="003F7DBF">
        <w:rPr>
          <w:rFonts w:ascii="Times New Roman" w:hAnsi="Times New Roman" w:cs="Times New Roman"/>
          <w:sz w:val="28"/>
          <w:szCs w:val="28"/>
        </w:rPr>
        <w:t>полугодие</w:t>
      </w:r>
      <w:r w:rsidR="003F7DBF" w:rsidRPr="00E955AF">
        <w:rPr>
          <w:rFonts w:ascii="Times New Roman" w:hAnsi="Times New Roman" w:cs="Times New Roman"/>
          <w:sz w:val="28"/>
          <w:szCs w:val="28"/>
        </w:rPr>
        <w:t xml:space="preserve"> 2024 года инвестировано в экономику </w:t>
      </w:r>
      <w:r w:rsidR="003F7DBF" w:rsidRPr="00B5617E">
        <w:rPr>
          <w:rFonts w:ascii="Times New Roman" w:hAnsi="Times New Roman" w:cs="Times New Roman"/>
          <w:sz w:val="28"/>
          <w:szCs w:val="28"/>
        </w:rPr>
        <w:t>473,3</w:t>
      </w:r>
      <w:r w:rsidR="003F7DBF" w:rsidRPr="00E955AF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3F7DBF" w:rsidRPr="00B5617E">
        <w:rPr>
          <w:rFonts w:ascii="Times New Roman" w:hAnsi="Times New Roman" w:cs="Times New Roman"/>
          <w:sz w:val="28"/>
          <w:szCs w:val="28"/>
        </w:rPr>
        <w:t xml:space="preserve">что на 26,4 % меньше, чем за 1 полугодие 2023  года. </w:t>
      </w:r>
    </w:p>
    <w:p w:rsidR="006E3D1A" w:rsidRPr="003F7DBF" w:rsidRDefault="006E3D1A" w:rsidP="00EC0469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BF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6E3D1A" w:rsidRPr="006E3D1A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EC0469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69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EC046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C0469">
        <w:rPr>
          <w:rFonts w:ascii="Times New Roman" w:hAnsi="Times New Roman" w:cs="Times New Roman"/>
          <w:sz w:val="28"/>
          <w:szCs w:val="28"/>
        </w:rPr>
        <w:t xml:space="preserve"> район для размещения производств.</w:t>
      </w:r>
    </w:p>
    <w:p w:rsidR="006E3B3A" w:rsidRPr="002849D0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849D0">
        <w:rPr>
          <w:rFonts w:ascii="Times New Roman" w:hAnsi="Times New Roman" w:cs="Times New Roman"/>
          <w:sz w:val="28"/>
          <w:szCs w:val="28"/>
        </w:rPr>
        <w:t xml:space="preserve">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6E3B3A" w:rsidRPr="002849D0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0">
        <w:rPr>
          <w:rFonts w:ascii="Times New Roman" w:hAnsi="Times New Roman" w:cs="Times New Roman"/>
          <w:sz w:val="28"/>
          <w:szCs w:val="28"/>
        </w:rPr>
        <w:t xml:space="preserve">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2849D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849D0">
        <w:rPr>
          <w:rFonts w:ascii="Times New Roman" w:hAnsi="Times New Roman" w:cs="Times New Roman"/>
          <w:sz w:val="28"/>
          <w:szCs w:val="28"/>
        </w:rPr>
        <w:t xml:space="preserve"> в том числе и с 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6E3B3A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D1A" w:rsidRPr="006E3D1A" w:rsidRDefault="00EC0469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69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</w:t>
      </w:r>
      <w:r w:rsidR="006E3D1A" w:rsidRPr="00EC0469">
        <w:rPr>
          <w:rFonts w:ascii="Times New Roman" w:hAnsi="Times New Roman" w:cs="Times New Roman"/>
          <w:sz w:val="28"/>
          <w:szCs w:val="28"/>
        </w:rPr>
        <w:t>является одной из приоритетных задач социально-экономического развития.</w:t>
      </w:r>
    </w:p>
    <w:p w:rsidR="006E3D1A" w:rsidRPr="005A64F2" w:rsidRDefault="006E3D1A" w:rsidP="00037E13">
      <w:pPr>
        <w:numPr>
          <w:ilvl w:val="1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4F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</w:t>
      </w:r>
      <w:r w:rsidR="00037E13" w:rsidRPr="005A64F2">
        <w:rPr>
          <w:rFonts w:ascii="Times New Roman" w:hAnsi="Times New Roman" w:cs="Times New Roman"/>
          <w:sz w:val="28"/>
          <w:szCs w:val="28"/>
        </w:rPr>
        <w:t>по состоянию на 10.07.2024</w:t>
      </w:r>
      <w:r w:rsidRPr="005A64F2">
        <w:rPr>
          <w:rFonts w:ascii="Times New Roman" w:hAnsi="Times New Roman" w:cs="Times New Roman"/>
          <w:sz w:val="28"/>
          <w:szCs w:val="28"/>
        </w:rPr>
        <w:t xml:space="preserve"> составило 1 </w:t>
      </w:r>
      <w:r w:rsidR="00037E13" w:rsidRPr="005A64F2">
        <w:rPr>
          <w:rFonts w:ascii="Times New Roman" w:hAnsi="Times New Roman" w:cs="Times New Roman"/>
          <w:sz w:val="28"/>
          <w:szCs w:val="28"/>
        </w:rPr>
        <w:t>257</w:t>
      </w:r>
      <w:r w:rsidRPr="005A64F2">
        <w:rPr>
          <w:rFonts w:ascii="Times New Roman" w:hAnsi="Times New Roman" w:cs="Times New Roman"/>
          <w:sz w:val="28"/>
          <w:szCs w:val="28"/>
        </w:rPr>
        <w:t>. В течение года зарегистрировано 46 новых юридических лиц.</w:t>
      </w:r>
    </w:p>
    <w:p w:rsidR="006E3D1A" w:rsidRPr="005A64F2" w:rsidRDefault="00037E13" w:rsidP="00037E13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4F2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6E3D1A" w:rsidRPr="005A64F2">
        <w:rPr>
          <w:rFonts w:ascii="Times New Roman" w:hAnsi="Times New Roman" w:cs="Times New Roman"/>
          <w:sz w:val="28"/>
          <w:szCs w:val="28"/>
        </w:rPr>
        <w:t>сократилось количество индивидуальных предпринимателей</w:t>
      </w:r>
      <w:r w:rsidRPr="005A64F2">
        <w:rPr>
          <w:rFonts w:ascii="Times New Roman" w:hAnsi="Times New Roman" w:cs="Times New Roman"/>
          <w:sz w:val="28"/>
          <w:szCs w:val="28"/>
        </w:rPr>
        <w:t xml:space="preserve"> на 8%</w:t>
      </w:r>
      <w:r w:rsidR="006E3D1A" w:rsidRPr="005A64F2">
        <w:rPr>
          <w:rFonts w:ascii="Times New Roman" w:hAnsi="Times New Roman" w:cs="Times New Roman"/>
          <w:sz w:val="28"/>
          <w:szCs w:val="28"/>
        </w:rPr>
        <w:t>, по состоянию на 10.0</w:t>
      </w:r>
      <w:r w:rsidRPr="005A64F2">
        <w:rPr>
          <w:rFonts w:ascii="Times New Roman" w:hAnsi="Times New Roman" w:cs="Times New Roman"/>
          <w:sz w:val="28"/>
          <w:szCs w:val="28"/>
        </w:rPr>
        <w:t>7</w:t>
      </w:r>
      <w:r w:rsidR="006E3D1A" w:rsidRPr="005A64F2">
        <w:rPr>
          <w:rFonts w:ascii="Times New Roman" w:hAnsi="Times New Roman" w:cs="Times New Roman"/>
          <w:sz w:val="28"/>
          <w:szCs w:val="28"/>
        </w:rPr>
        <w:t>.2024 их численность составила 1</w:t>
      </w:r>
      <w:r w:rsidRPr="005A64F2">
        <w:rPr>
          <w:rFonts w:ascii="Times New Roman" w:hAnsi="Times New Roman" w:cs="Times New Roman"/>
          <w:sz w:val="28"/>
          <w:szCs w:val="28"/>
        </w:rPr>
        <w:t>037</w:t>
      </w:r>
      <w:r w:rsidR="006E3D1A" w:rsidRPr="005A64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A64F2">
        <w:rPr>
          <w:rFonts w:ascii="Times New Roman" w:hAnsi="Times New Roman" w:cs="Times New Roman"/>
          <w:sz w:val="28"/>
          <w:szCs w:val="28"/>
        </w:rPr>
        <w:t xml:space="preserve"> (на 10.01.2024 – 1126 человек)</w:t>
      </w:r>
      <w:r w:rsidR="006E3D1A" w:rsidRPr="005A64F2">
        <w:rPr>
          <w:rFonts w:ascii="Times New Roman" w:hAnsi="Times New Roman" w:cs="Times New Roman"/>
          <w:sz w:val="28"/>
          <w:szCs w:val="28"/>
        </w:rPr>
        <w:t>.</w:t>
      </w:r>
    </w:p>
    <w:p w:rsidR="00037E13" w:rsidRPr="005A64F2" w:rsidRDefault="00037E13" w:rsidP="00037E13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4F2">
        <w:rPr>
          <w:rFonts w:ascii="Times New Roman" w:hAnsi="Times New Roman" w:cs="Times New Roman"/>
          <w:sz w:val="28"/>
          <w:szCs w:val="28"/>
        </w:rPr>
        <w:t xml:space="preserve">Необходимо отметить рост численности </w:t>
      </w:r>
      <w:proofErr w:type="gramStart"/>
      <w:r w:rsidRPr="005A64F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5A64F2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предпринимательства. По состоянию на 31.03.2024 численность занятых составила 7106 человек (на 01.04.2023 – 5709 человек).</w:t>
      </w:r>
    </w:p>
    <w:p w:rsidR="00CC332B" w:rsidRPr="006E3B3A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CDF" w:rsidRPr="006E3B3A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B3A">
        <w:rPr>
          <w:rFonts w:ascii="Times New Roman" w:hAnsi="Times New Roman"/>
          <w:b/>
          <w:sz w:val="28"/>
          <w:szCs w:val="28"/>
        </w:rPr>
        <w:t>Анализ социально значимых и приоритетных рынков.</w:t>
      </w:r>
    </w:p>
    <w:p w:rsidR="005E0C28" w:rsidRPr="006E3B3A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1D00" w:rsidRPr="00F5617C" w:rsidRDefault="005E0C28" w:rsidP="006E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она от 28 октября 2019 №1679-п</w:t>
      </w:r>
      <w:r w:rsidR="003F7DBF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24.11.2022 №1847-п)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  <w:r w:rsidR="006E3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Ленинградской обла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5C36FF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6FF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5C36FF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Островского,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Остров</w:t>
      </w:r>
      <w:r w:rsidR="005C36FF">
        <w:rPr>
          <w:rFonts w:ascii="Times New Roman" w:eastAsia="Calibri" w:hAnsi="Times New Roman" w:cs="Times New Roman"/>
          <w:sz w:val="28"/>
          <w:szCs w:val="28"/>
        </w:rPr>
        <w:t>с</w:t>
      </w:r>
      <w:r w:rsidRPr="00E630FF">
        <w:rPr>
          <w:rFonts w:ascii="Times New Roman" w:eastAsia="Calibri" w:hAnsi="Times New Roman" w:cs="Times New Roman"/>
          <w:sz w:val="28"/>
          <w:szCs w:val="28"/>
        </w:rPr>
        <w:t>кого,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д.15 -  1 МКД общей площадью 3213,9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lastRenderedPageBreak/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д.3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д.5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Попкова Гора, д.1,2, -2 МКД общей площадью 1090,0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Переволок, д.31– 1 МКД общей площадью 512,3 м², </w:t>
      </w:r>
    </w:p>
    <w:p w:rsidR="002E3322" w:rsidRPr="009C6C58" w:rsidRDefault="002E332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Кологриво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Поречье, д.18,20 – 2 МКД общей площадью 1303,0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Монастырек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Савиновщина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546BA1" w:rsidRDefault="00735347" w:rsidP="00546B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оказания услуг по перевозке пассажиров автомобильным тран</w:t>
      </w: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портом, по муниципальным маршрутам регулярных перевозок</w:t>
      </w:r>
    </w:p>
    <w:p w:rsidR="00EC2E15" w:rsidRPr="00546BA1" w:rsidRDefault="00EC2E15" w:rsidP="00546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C0F" w:rsidRPr="00583C0F" w:rsidRDefault="00583C0F" w:rsidP="0054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пассажирских перевозок на городских автобусных маршрутах Сланцевского городского поселения осуществлялось индивид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предпринимателем Марковым Виктором Александровичем. Приг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автобусные маршруты на территории Сланцевского муниципального района организованы индивидуальным предпринимателем Суховым Генн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дием Анатольевичем.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организовано и функционирует 30 муниципал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маршрутов, 9 из которых организованы в границах Сланцевского горо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поселения, 21 автобусный маршрут объединяет населенные пункты Сланцевского района.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proofErr w:type="spell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Сланцевском</w:t>
      </w:r>
      <w:proofErr w:type="spell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546BA1" w:rsidRDefault="00EC2E15" w:rsidP="00735347">
      <w:pPr>
        <w:spacing w:after="0" w:line="240" w:lineRule="auto"/>
        <w:jc w:val="center"/>
        <w:rPr>
          <w:b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жилищно-коммунальные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3F7DBF" w:rsidRDefault="003F7DBF" w:rsidP="003F7D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ООО «</w:t>
      </w:r>
      <w:proofErr w:type="spellStart"/>
      <w:r>
        <w:rPr>
          <w:sz w:val="28"/>
          <w:szCs w:val="28"/>
        </w:rPr>
        <w:t>Петербургтеплоэнерго</w:t>
      </w:r>
      <w:proofErr w:type="spellEnd"/>
      <w:r>
        <w:rPr>
          <w:sz w:val="28"/>
          <w:szCs w:val="28"/>
        </w:rPr>
        <w:t>».</w:t>
      </w:r>
    </w:p>
    <w:p w:rsidR="00F30818" w:rsidRPr="00546BA1" w:rsidRDefault="00F30818" w:rsidP="001E2B23">
      <w:pPr>
        <w:pStyle w:val="af6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наружной рекламы</w:t>
      </w:r>
    </w:p>
    <w:p w:rsidR="00657218" w:rsidRPr="00546BA1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139" w:rsidRPr="00690043" w:rsidRDefault="00AC0D47" w:rsidP="00DC602B">
      <w:pPr>
        <w:pStyle w:val="ab"/>
        <w:ind w:firstLine="708"/>
        <w:rPr>
          <w:sz w:val="28"/>
          <w:szCs w:val="28"/>
        </w:rPr>
      </w:pPr>
      <w:r w:rsidRPr="00690043">
        <w:rPr>
          <w:rFonts w:eastAsia="Calibri"/>
          <w:sz w:val="28"/>
          <w:szCs w:val="28"/>
          <w:lang w:eastAsia="ru-RU"/>
        </w:rPr>
        <w:t xml:space="preserve">В </w:t>
      </w:r>
      <w:proofErr w:type="spellStart"/>
      <w:r w:rsidR="00862139" w:rsidRPr="00690043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690043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690043">
        <w:rPr>
          <w:rFonts w:eastAsia="Calibri"/>
          <w:sz w:val="28"/>
          <w:szCs w:val="28"/>
          <w:lang w:eastAsia="ru-RU"/>
        </w:rPr>
        <w:t xml:space="preserve"> </w:t>
      </w:r>
      <w:r w:rsidR="00862139" w:rsidRPr="00690043">
        <w:rPr>
          <w:rFonts w:eastAsia="Calibri"/>
          <w:sz w:val="28"/>
          <w:szCs w:val="28"/>
          <w:lang w:eastAsia="ru-RU"/>
        </w:rPr>
        <w:t xml:space="preserve">4 </w:t>
      </w:r>
      <w:r w:rsidRPr="00690043">
        <w:rPr>
          <w:rFonts w:eastAsia="Calibri"/>
          <w:sz w:val="28"/>
          <w:szCs w:val="28"/>
          <w:lang w:eastAsia="ru-RU"/>
        </w:rPr>
        <w:t>организации, осуществля</w:t>
      </w:r>
      <w:r w:rsidRPr="00690043">
        <w:rPr>
          <w:rFonts w:eastAsia="Calibri"/>
          <w:sz w:val="28"/>
          <w:szCs w:val="28"/>
          <w:lang w:eastAsia="ru-RU"/>
        </w:rPr>
        <w:t>ю</w:t>
      </w:r>
      <w:r w:rsidRPr="00690043">
        <w:rPr>
          <w:rFonts w:eastAsia="Calibri"/>
          <w:sz w:val="28"/>
          <w:szCs w:val="28"/>
          <w:lang w:eastAsia="ru-RU"/>
        </w:rPr>
        <w:t>щи</w:t>
      </w:r>
      <w:r w:rsidR="00E517A6" w:rsidRPr="00690043">
        <w:rPr>
          <w:rFonts w:eastAsia="Calibri"/>
          <w:sz w:val="28"/>
          <w:szCs w:val="28"/>
          <w:lang w:eastAsia="ru-RU"/>
        </w:rPr>
        <w:t>е</w:t>
      </w:r>
      <w:r w:rsidRPr="00690043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690043">
        <w:rPr>
          <w:rFonts w:eastAsia="Calibri"/>
          <w:sz w:val="28"/>
          <w:szCs w:val="28"/>
          <w:lang w:eastAsia="ru-RU"/>
        </w:rPr>
        <w:t>,</w:t>
      </w:r>
      <w:r w:rsidRPr="00690043">
        <w:rPr>
          <w:rFonts w:eastAsia="Calibri"/>
          <w:sz w:val="28"/>
          <w:szCs w:val="28"/>
          <w:lang w:eastAsia="ru-RU"/>
        </w:rPr>
        <w:t xml:space="preserve"> </w:t>
      </w:r>
      <w:r w:rsidR="00862139" w:rsidRPr="00690043">
        <w:rPr>
          <w:sz w:val="28"/>
          <w:szCs w:val="28"/>
        </w:rPr>
        <w:t>все относятся к субъектам м</w:t>
      </w:r>
      <w:r w:rsidR="00862139" w:rsidRPr="00690043">
        <w:rPr>
          <w:sz w:val="28"/>
          <w:szCs w:val="28"/>
        </w:rPr>
        <w:t>а</w:t>
      </w:r>
      <w:r w:rsidR="00862139" w:rsidRPr="00690043">
        <w:rPr>
          <w:sz w:val="28"/>
          <w:szCs w:val="28"/>
        </w:rPr>
        <w:t xml:space="preserve">лого предпринимательства. </w:t>
      </w:r>
    </w:p>
    <w:p w:rsidR="00B72197" w:rsidRPr="00690043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690043">
        <w:rPr>
          <w:rFonts w:eastAsia="Calibri"/>
          <w:sz w:val="28"/>
          <w:szCs w:val="28"/>
          <w:lang w:eastAsia="ru-RU"/>
        </w:rPr>
        <w:t xml:space="preserve">Подготовлено </w:t>
      </w:r>
      <w:r w:rsidR="009B0CA7" w:rsidRPr="00690043">
        <w:rPr>
          <w:rFonts w:eastAsia="Calibri"/>
          <w:sz w:val="28"/>
          <w:szCs w:val="28"/>
          <w:lang w:eastAsia="ru-RU"/>
        </w:rPr>
        <w:t>17</w:t>
      </w:r>
      <w:r w:rsidRPr="00690043">
        <w:rPr>
          <w:rFonts w:eastAsia="Calibri"/>
          <w:sz w:val="28"/>
          <w:szCs w:val="28"/>
          <w:lang w:eastAsia="ru-RU"/>
        </w:rPr>
        <w:t xml:space="preserve"> уведомлений о согласовании установки информац</w:t>
      </w:r>
      <w:r w:rsidRPr="00690043">
        <w:rPr>
          <w:rFonts w:eastAsia="Calibri"/>
          <w:sz w:val="28"/>
          <w:szCs w:val="28"/>
          <w:lang w:eastAsia="ru-RU"/>
        </w:rPr>
        <w:t>и</w:t>
      </w:r>
      <w:r w:rsidRPr="00690043">
        <w:rPr>
          <w:rFonts w:eastAsia="Calibri"/>
          <w:sz w:val="28"/>
          <w:szCs w:val="28"/>
          <w:lang w:eastAsia="ru-RU"/>
        </w:rPr>
        <w:t>онн</w:t>
      </w:r>
      <w:r w:rsidR="0034010E" w:rsidRPr="00690043">
        <w:rPr>
          <w:rFonts w:eastAsia="Calibri"/>
          <w:sz w:val="28"/>
          <w:szCs w:val="28"/>
          <w:lang w:eastAsia="ru-RU"/>
        </w:rPr>
        <w:t xml:space="preserve">ых вывесок и </w:t>
      </w:r>
      <w:proofErr w:type="spellStart"/>
      <w:proofErr w:type="gramStart"/>
      <w:r w:rsidRPr="00690043">
        <w:rPr>
          <w:rFonts w:eastAsia="Calibri"/>
          <w:sz w:val="28"/>
          <w:szCs w:val="28"/>
          <w:lang w:eastAsia="ru-RU"/>
        </w:rPr>
        <w:t>дизайн-проекта</w:t>
      </w:r>
      <w:proofErr w:type="spellEnd"/>
      <w:proofErr w:type="gramEnd"/>
      <w:r w:rsidRPr="00690043">
        <w:rPr>
          <w:rFonts w:eastAsia="Calibri"/>
          <w:sz w:val="28"/>
          <w:szCs w:val="28"/>
          <w:lang w:eastAsia="ru-RU"/>
        </w:rPr>
        <w:t xml:space="preserve"> размещения вывески.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690043">
        <w:rPr>
          <w:rFonts w:eastAsia="Calibri"/>
          <w:sz w:val="28"/>
          <w:szCs w:val="28"/>
          <w:lang w:eastAsia="ru-RU"/>
        </w:rPr>
        <w:t xml:space="preserve">Составлен </w:t>
      </w:r>
      <w:r w:rsidR="009B0CA7" w:rsidRPr="00690043">
        <w:rPr>
          <w:rFonts w:eastAsia="Calibri"/>
          <w:sz w:val="28"/>
          <w:szCs w:val="28"/>
          <w:lang w:eastAsia="ru-RU"/>
        </w:rPr>
        <w:t>21</w:t>
      </w:r>
      <w:r w:rsidRPr="00690043">
        <w:rPr>
          <w:rFonts w:eastAsia="Calibri"/>
          <w:sz w:val="28"/>
          <w:szCs w:val="28"/>
          <w:lang w:eastAsia="ru-RU"/>
        </w:rPr>
        <w:t xml:space="preserve"> протокол об административном правонарушении, сове</w:t>
      </w:r>
      <w:r w:rsidRPr="00690043">
        <w:rPr>
          <w:rFonts w:eastAsia="Calibri"/>
          <w:sz w:val="28"/>
          <w:szCs w:val="28"/>
          <w:lang w:eastAsia="ru-RU"/>
        </w:rPr>
        <w:t>р</w:t>
      </w:r>
      <w:r w:rsidRPr="00690043">
        <w:rPr>
          <w:rFonts w:eastAsia="Calibri"/>
          <w:sz w:val="28"/>
          <w:szCs w:val="28"/>
          <w:lang w:eastAsia="ru-RU"/>
        </w:rPr>
        <w:t>шенном физическим лицом, в части нарушения требований по размещению информационных конструкций.</w:t>
      </w:r>
    </w:p>
    <w:p w:rsidR="009D32EE" w:rsidRPr="00546BA1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b/>
        </w:rPr>
      </w:pPr>
    </w:p>
    <w:p w:rsidR="00292D6E" w:rsidRPr="00546BA1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BA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46BA1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B230F7" w:rsidRPr="00B03402" w:rsidRDefault="00B230F7" w:rsidP="00746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2019 – 2025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годах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редакции постановления от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>24.11.2022 № 1847-п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4727" w:rsidRPr="00B03402" w:rsidRDefault="00554727" w:rsidP="007464EF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proofErr w:type="spellStart"/>
      <w:r w:rsidR="00B230F7" w:rsidRPr="00B03402">
        <w:rPr>
          <w:sz w:val="28"/>
          <w:szCs w:val="28"/>
        </w:rPr>
        <w:t>Сланцевский</w:t>
      </w:r>
      <w:proofErr w:type="spellEnd"/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вию развитию конкуренции на муниципальных социально значимых рынках, 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F3486C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B6C52" w:rsidRPr="00F3486C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86C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F3486C">
        <w:rPr>
          <w:rFonts w:ascii="Times New Roman" w:hAnsi="Times New Roman"/>
          <w:b/>
          <w:bCs/>
          <w:sz w:val="28"/>
          <w:szCs w:val="28"/>
        </w:rPr>
        <w:t>4</w:t>
      </w:r>
      <w:r w:rsidRPr="00F348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F3486C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proofErr w:type="spellStart"/>
      <w:r w:rsidR="00686E96" w:rsidRPr="00172D1A">
        <w:rPr>
          <w:sz w:val="28"/>
          <w:szCs w:val="28"/>
        </w:rPr>
        <w:t>Сланцевский</w:t>
      </w:r>
      <w:proofErr w:type="spellEnd"/>
      <w:r w:rsidR="00686E96" w:rsidRPr="00172D1A">
        <w:rPr>
          <w:sz w:val="28"/>
          <w:szCs w:val="28"/>
        </w:rPr>
        <w:t xml:space="preserve">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Сла</w:t>
      </w:r>
      <w:r w:rsidR="00F3486C">
        <w:rPr>
          <w:bCs/>
          <w:sz w:val="28"/>
          <w:szCs w:val="28"/>
        </w:rPr>
        <w:t>нцевского муниципального района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конкуренции,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о во</w:t>
      </w:r>
      <w:r w:rsidR="00571244" w:rsidRPr="00172D1A">
        <w:rPr>
          <w:sz w:val="28"/>
          <w:szCs w:val="28"/>
        </w:rPr>
        <w:t>з</w:t>
      </w:r>
      <w:r w:rsidR="00571244" w:rsidRPr="00172D1A">
        <w:rPr>
          <w:sz w:val="28"/>
          <w:szCs w:val="28"/>
        </w:rPr>
        <w:t>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>участия представителей предпринимательства в обсуждении но</w:t>
      </w:r>
      <w:r w:rsidR="00571244" w:rsidRPr="00172D1A">
        <w:rPr>
          <w:bCs/>
          <w:sz w:val="28"/>
          <w:szCs w:val="28"/>
        </w:rPr>
        <w:t>р</w:t>
      </w:r>
      <w:r w:rsidR="00571244" w:rsidRPr="00172D1A">
        <w:rPr>
          <w:bCs/>
          <w:sz w:val="28"/>
          <w:szCs w:val="28"/>
        </w:rPr>
        <w:t xml:space="preserve">мативных правовых актов администрации МО </w:t>
      </w:r>
      <w:proofErr w:type="spellStart"/>
      <w:r w:rsidR="001B29EA" w:rsidRPr="00172D1A">
        <w:rPr>
          <w:bCs/>
          <w:sz w:val="28"/>
          <w:szCs w:val="28"/>
        </w:rPr>
        <w:t>Сланцевский</w:t>
      </w:r>
      <w:proofErr w:type="spellEnd"/>
      <w:r w:rsidR="001B29EA" w:rsidRPr="00172D1A">
        <w:rPr>
          <w:bCs/>
          <w:sz w:val="28"/>
          <w:szCs w:val="28"/>
        </w:rPr>
        <w:t xml:space="preserve"> муниципальный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</w:t>
      </w:r>
      <w:r w:rsidR="00571244" w:rsidRPr="00172D1A">
        <w:rPr>
          <w:bCs/>
          <w:sz w:val="28"/>
          <w:szCs w:val="28"/>
        </w:rPr>
        <w:t>и</w:t>
      </w:r>
      <w:r w:rsidR="00571244" w:rsidRPr="00172D1A">
        <w:rPr>
          <w:bCs/>
          <w:sz w:val="28"/>
          <w:szCs w:val="28"/>
        </w:rPr>
        <w:t>страции по оценке регулирующего воздействия;</w:t>
      </w:r>
    </w:p>
    <w:p w:rsidR="00571244" w:rsidRPr="00172D1A" w:rsidRDefault="00571244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рацией 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в конце</w:t>
      </w:r>
      <w:r w:rsidR="007F3BA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года пров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одится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опрос субъектов предпринимательской де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анкетам для дальнейшего использования в разработке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lastRenderedPageBreak/>
        <w:t>мер по улучшению состояния и развития конкурентной среды на рынках 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варов, работ и услуг и определения приоритетных направлений работы.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>лизации результативности и эффективности мер по развитию конкуренции в 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sectPr w:rsidR="00C74C2C" w:rsidRPr="00DF1741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12703D"/>
    <w:multiLevelType w:val="hybridMultilevel"/>
    <w:tmpl w:val="42F297E4"/>
    <w:lvl w:ilvl="0" w:tplc="A9325D1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531E06D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03BCA36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C4020B3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B7E55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7AD4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7BACD3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A6C26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1EC37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8"/>
  </w:num>
  <w:num w:numId="6">
    <w:abstractNumId w:val="19"/>
  </w:num>
  <w:num w:numId="7">
    <w:abstractNumId w:val="10"/>
  </w:num>
  <w:num w:numId="8">
    <w:abstractNumId w:val="25"/>
  </w:num>
  <w:num w:numId="9">
    <w:abstractNumId w:val="14"/>
  </w:num>
  <w:num w:numId="10">
    <w:abstractNumId w:val="21"/>
  </w:num>
  <w:num w:numId="11">
    <w:abstractNumId w:val="24"/>
  </w:num>
  <w:num w:numId="12">
    <w:abstractNumId w:val="20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35A4B"/>
    <w:rsid w:val="00037E13"/>
    <w:rsid w:val="000425C0"/>
    <w:rsid w:val="000451D1"/>
    <w:rsid w:val="000477F8"/>
    <w:rsid w:val="00052F9A"/>
    <w:rsid w:val="000569F2"/>
    <w:rsid w:val="000612ED"/>
    <w:rsid w:val="000625A4"/>
    <w:rsid w:val="00084E2B"/>
    <w:rsid w:val="00095057"/>
    <w:rsid w:val="000A00A3"/>
    <w:rsid w:val="000B3A1C"/>
    <w:rsid w:val="000B7A8F"/>
    <w:rsid w:val="000C0E45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57AA7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3F7DBF"/>
    <w:rsid w:val="00406C85"/>
    <w:rsid w:val="00413C9C"/>
    <w:rsid w:val="00432D26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4988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A2886"/>
    <w:rsid w:val="004A4C8D"/>
    <w:rsid w:val="004A4F82"/>
    <w:rsid w:val="004B20BF"/>
    <w:rsid w:val="004B2E5B"/>
    <w:rsid w:val="004C3190"/>
    <w:rsid w:val="004C54E7"/>
    <w:rsid w:val="004C6732"/>
    <w:rsid w:val="004D6A34"/>
    <w:rsid w:val="004E25E6"/>
    <w:rsid w:val="004F38E4"/>
    <w:rsid w:val="004F3FA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46BA1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A64F2"/>
    <w:rsid w:val="005B00E6"/>
    <w:rsid w:val="005B01A9"/>
    <w:rsid w:val="005B497B"/>
    <w:rsid w:val="005B6724"/>
    <w:rsid w:val="005C0A0F"/>
    <w:rsid w:val="005C36F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0234"/>
    <w:rsid w:val="00671FCA"/>
    <w:rsid w:val="0067245C"/>
    <w:rsid w:val="00673478"/>
    <w:rsid w:val="00675AF1"/>
    <w:rsid w:val="00682CFD"/>
    <w:rsid w:val="00685293"/>
    <w:rsid w:val="00686E96"/>
    <w:rsid w:val="00690043"/>
    <w:rsid w:val="00694E2C"/>
    <w:rsid w:val="006A2B3F"/>
    <w:rsid w:val="006B26B4"/>
    <w:rsid w:val="006C272F"/>
    <w:rsid w:val="006E0BB7"/>
    <w:rsid w:val="006E3B3A"/>
    <w:rsid w:val="006E3D1A"/>
    <w:rsid w:val="006E547E"/>
    <w:rsid w:val="006E7922"/>
    <w:rsid w:val="006F5311"/>
    <w:rsid w:val="00701798"/>
    <w:rsid w:val="00703D4A"/>
    <w:rsid w:val="0070557C"/>
    <w:rsid w:val="0071016D"/>
    <w:rsid w:val="00711DC5"/>
    <w:rsid w:val="00715E1B"/>
    <w:rsid w:val="007205AF"/>
    <w:rsid w:val="007325AA"/>
    <w:rsid w:val="00735347"/>
    <w:rsid w:val="007445BA"/>
    <w:rsid w:val="007464EF"/>
    <w:rsid w:val="00746659"/>
    <w:rsid w:val="00750AD4"/>
    <w:rsid w:val="007516D2"/>
    <w:rsid w:val="00756A6E"/>
    <w:rsid w:val="00774A4D"/>
    <w:rsid w:val="00775A65"/>
    <w:rsid w:val="007824BF"/>
    <w:rsid w:val="0078478A"/>
    <w:rsid w:val="0078494D"/>
    <w:rsid w:val="00792FA1"/>
    <w:rsid w:val="00793B53"/>
    <w:rsid w:val="00797CEC"/>
    <w:rsid w:val="007A04B7"/>
    <w:rsid w:val="007A17E0"/>
    <w:rsid w:val="007A5381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7F3BA4"/>
    <w:rsid w:val="00803C65"/>
    <w:rsid w:val="0080447E"/>
    <w:rsid w:val="008047FF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76CF9"/>
    <w:rsid w:val="00980B63"/>
    <w:rsid w:val="009865F8"/>
    <w:rsid w:val="0099453D"/>
    <w:rsid w:val="009A195C"/>
    <w:rsid w:val="009A2932"/>
    <w:rsid w:val="009B0CA7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7E2E"/>
    <w:rsid w:val="00A42DE8"/>
    <w:rsid w:val="00A43EAC"/>
    <w:rsid w:val="00A44F7A"/>
    <w:rsid w:val="00A6014E"/>
    <w:rsid w:val="00A6206D"/>
    <w:rsid w:val="00A84B5D"/>
    <w:rsid w:val="00A87207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2335B"/>
    <w:rsid w:val="00B36090"/>
    <w:rsid w:val="00B43575"/>
    <w:rsid w:val="00B500AE"/>
    <w:rsid w:val="00B55E36"/>
    <w:rsid w:val="00B5617E"/>
    <w:rsid w:val="00B56F58"/>
    <w:rsid w:val="00B56FFD"/>
    <w:rsid w:val="00B57DC7"/>
    <w:rsid w:val="00B635B4"/>
    <w:rsid w:val="00B72197"/>
    <w:rsid w:val="00B7311E"/>
    <w:rsid w:val="00B87F4D"/>
    <w:rsid w:val="00B918DA"/>
    <w:rsid w:val="00BA14E3"/>
    <w:rsid w:val="00BB06F0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03F6"/>
    <w:rsid w:val="00C4665A"/>
    <w:rsid w:val="00C62E7B"/>
    <w:rsid w:val="00C631A5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E0BE7"/>
    <w:rsid w:val="00CE2802"/>
    <w:rsid w:val="00CE3D02"/>
    <w:rsid w:val="00CE7277"/>
    <w:rsid w:val="00CE7CC8"/>
    <w:rsid w:val="00D00692"/>
    <w:rsid w:val="00D11BB2"/>
    <w:rsid w:val="00D17D81"/>
    <w:rsid w:val="00D23656"/>
    <w:rsid w:val="00D27811"/>
    <w:rsid w:val="00D44A84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A7127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46405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5AF"/>
    <w:rsid w:val="00E95AEF"/>
    <w:rsid w:val="00E97141"/>
    <w:rsid w:val="00EA3B3A"/>
    <w:rsid w:val="00EA45A4"/>
    <w:rsid w:val="00EA7AD5"/>
    <w:rsid w:val="00EC0469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486C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extbodyindent">
    <w:name w:val="Text body indent"/>
    <w:basedOn w:val="Standard"/>
    <w:rsid w:val="00793B53"/>
    <w:pPr>
      <w:suppressAutoHyphens w:val="0"/>
      <w:autoSpaceDN/>
      <w:ind w:firstLine="851"/>
      <w:jc w:val="both"/>
    </w:pPr>
    <w:rPr>
      <w:rFonts w:eastAsia="Times New Roman"/>
      <w:kern w:val="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3A8D-5FFE-4512-9FEB-0891302A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9</cp:revision>
  <cp:lastPrinted>2024-07-24T13:50:00Z</cp:lastPrinted>
  <dcterms:created xsi:type="dcterms:W3CDTF">2024-10-22T11:36:00Z</dcterms:created>
  <dcterms:modified xsi:type="dcterms:W3CDTF">2024-10-23T08:29:00Z</dcterms:modified>
</cp:coreProperties>
</file>