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Отчет о реализации мероприятий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муниципальной  программы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Развитие и поддержка субъектов малого и среднего предпринимательства в монопрофильном муниципальном образовании Сланцевское городское поселение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на 201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- 20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26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pStyle w:val="84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за 1 полугодие 20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</w:p>
    <w:p>
      <w:pPr>
        <w:pStyle w:val="844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</w:rPr>
      </w:r>
    </w:p>
    <w:p>
      <w:pPr>
        <w:pStyle w:val="844"/>
        <w:jc w:val="center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(Программа утверждена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постановлением администрации Сланцевского муниципального района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.201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№ 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400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-п </w:t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auto"/>
          <w:sz w:val="24"/>
          <w:szCs w:val="24"/>
          <w14:ligatures w14:val="none"/>
        </w:rPr>
      </w:r>
    </w:p>
    <w:p>
      <w:pPr>
        <w:pStyle w:val="8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 изменениями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25.02.2019 № 211-п, от 09.04.2019 № 426-п и от 07.05.2019 № 60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-п, от 30.09.2019№ 1421-п, от 30.12.2019  № 2137-п, от 30.03.2020 № 422-п, от 08.04.2020 № 456-п, от 27.07.2020 № 980-п, от 15.12.2020 №1766-п, от 09.02.2021 № 144-п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от 13.04.2021 № 473-п, от 20.04.2021 № 520-п, от 06.05.2021 № 584-п, от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23.12.2021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1840-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п, от 14.03.2022 № 325-п, от 04.04.2022 № 452,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02.02.2023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156-п, от 26.07.2023 № 1201-п, от 24.10.2023 № 1879-п, от 05.03.2024 № 317-п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44"/>
        <w:ind w:firstLine="720"/>
        <w:jc w:val="both"/>
        <w:tabs>
          <w:tab w:val="left" w:pos="567" w:leader="none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44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территории Сл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анцевского городского поселения зарегистрировано 320 организации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(в том числе 187 малых и средних организаций), 816 индивидуальных предпринимателей. Количество самозанятых граждан на 01.01.2024 по Сланцевскому муниципальному району составило 3213 человек.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4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Основной преобладающей отраслью экономики Сланцевского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городского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является промышленность. Промышленностью выпускаются, как товары производс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венно-технического назн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чения, так и народного потребления.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Оборот крупных и средних предприятий по Сланцевскому городскому поселению за 1 полугодие 2024 года составил 24,7 миллиардов рублей, что на 20% в действующих ценах больше, чем за аналогичный период 2023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9"/>
        <w:ind w:left="0" w:right="0" w:firstLine="709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Отгрузка товаров собственного производства, выполнение работ и услуг крупными и средними предприятиями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увеличилась на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33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% и составила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9,6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миллиардов рублей.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14:ligatures w14:val="none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Малое и среднее предпринимательство является неотъемлемой и важной частью экономической системы Сланцевского городского поселения. Занимает значительное место в экономической и социальной сферах поселения, способствует созданию 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ых рабочих мест и обеспечению занятости населения,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города, усиливает стабильность налоговых поступлений в бюджет.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Малые и сре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дние промышленные предприятия представляют различные виды производства: ООО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ЕвроАэроБетон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ООО «Хорс-Р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езинотехника», ЗАО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Неозон», ООО «Научно-производственное предприятие «Сланцевский завод пружин», ООО «БТР-С», ООО «Инновационные технологии», ООО «Перспектива», ООО «Закройщик», ООО «Пим-Конструкция»,  ООО «Петербур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гская керамика» и другие.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Численность занятых у субъектов малого и среднего предпринимательства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оценочным данным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составляет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5106 человек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Доля занятых в малом бизнесе от занятых в экономике составляет 51,4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предпринимательства является одной из приоритетных задач социально-экономического развития Сланцевского городского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Поддерживая политику государства в отношении малого и среднего бизнеса, органы местного самоуправления решают задачу создания благоприятных условий для развития бизнеса на территории Сланцевского городского поселения.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9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Муниципальная программа «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Развитие и поддержка субъектов малого и среднего предпринимательства в монопрофильном муниципальном образовании Сланцевское городское поселение»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включает реализацию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комплекс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процессных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мероприятий: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- «Поддержка организаций, образующих инфраструктуру поддержки субъектов малого и среднего предпринимательства»;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- «Поддержка субъектов малого и среднего предпринимательства»;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ероприятия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направленны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на достижение целей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проекта «Поддержка субъектов малого и среднего предпринимательства».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 программе запланированный объем финансирования на 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год составляет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10659,8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тыс. руб., в т.ч. средства местного бюджета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1203,8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тыс. руб., средства областн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го бюджета 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ru-RU"/>
        </w:rPr>
        <w:t xml:space="preserve">9456,0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20"/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итогам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 полугодия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года в рамках реализации программы фактическ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ое финансирование выполнено на 68%.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ind w:firstLine="720"/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рамках реализации комплекса процессных мероприятий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направленных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на поддержку субъектов малого и среднего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ФПМСП «Социально-деловой центр»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 полугодии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оказано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140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индивидуальных консул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ьтаций.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ind w:firstLine="720"/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ФПМСП «Социально-деловой центр» также оказана информационная поддержка по субсидир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ованию процентной ставки по кредитам, выданным субъектам малого и среднего предпринимательства на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субъектам предпринимательства.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ind w:firstLine="720"/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Субъекты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участвовали в региональных мероприятиях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таких как форумы, конференции, слеты, круглые столы.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ind w:firstLine="720"/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Имущественная поддержка субъектов малого и среднего предпринимательства предусмотрена в виде передачи во владение и в пользование муниципального имущества на возмездной основе, безвозмездной основе или на льготных условиях.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Сформирован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Перечень муниципального имущества, предназначенного для предоставления во владение или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Перечень муниципального имущества муниципального образования Сланцевское городское поселение включено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объектов недвижимости, из которых на сегодняшний день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свободны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объект. Таким образом,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учетом прошлых лет предоставлены в аренду субъектам предпринимательства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объект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(или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95,7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% от объектов, включенных в Перечень).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859"/>
        <w:ind w:firstLine="54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По комплексу процессных мероприятий направленных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на поддержку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в 202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году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предусмотрены средства для предоставления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субсидии за счет местного бюджета на компенсацию части затрат, связанных с обеспечением текущей деятельности организации по предоставлению поддержки предпринимательству в размере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35.1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тыс. руб.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Мероприятия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направленные на до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стижение целей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проекта «Поддержка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 годовом плане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624,7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тыс.руб. реализованы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68,3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Финансовая поддержка реализуется путем субсидирования субъектов малого и среднего предпринимательства.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результатам конкурсных процедур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субсидии получили 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субъектов малого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будет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рабочих мест.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9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рамках реализации проекта были предоставлены субсидии: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субъектам малого предпринимательства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компенсации части затрат, связанных с уплатой лизинговых платежей и (или) первого взноса (аванса) по договору (договорам) лизинга, в целях создания и (или) развития либо модернизации производства товаров (работ, услуг)» на общую сумму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3200,4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руб., в том числе за счет средств областного бюджета Ленинградской области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2848,4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 и за счет средств местного бюджета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352,0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будет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рабочих мест.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субъектам малого предпринимательства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для компенсации части затрат, связанных с приобретением оборудования в целях создания и (или) развития и (или) модернизации производства товаров, работ и услуг на общую сумму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2646,4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руб., в том числе за счет средств областного бюджета Ленинградской области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2355,3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 и за счет средств местного бюджета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291,1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будет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создано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рабочих мест.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ind w:left="0" w:right="0" w:firstLine="709"/>
        <w:jc w:val="both"/>
        <w:spacing w:line="200" w:lineRule="atLeas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субъектам малого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компенсации части затрат, связанных с организацией предпринимател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ьской деятельности  на общую сумму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1409,9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тыс. руб., в том числе за счет средств областного бюджета Ленинградской области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1254,8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 и за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средств местного бюджета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155,1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тыс. руб., создано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рабочих мест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а.</w:t>
      </w:r>
      <w:r>
        <w:rPr>
          <w:rFonts w:eastAsia="Calibri"/>
          <w:color w:val="000000" w:themeColor="text1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left="0" w:right="0" w:firstLine="709"/>
        <w:jc w:val="both"/>
        <w:spacing w:line="20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Финансовая поддержка компенсировала затраты субъектов малого предпринимательства на приобретение производственного и профессионального оборудования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грузовых и пассажирских автотранспортных средств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844"/>
        <w:ind w:left="0" w:righ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Выполнение мероприятий, предусмотренных муниципальной программой в 1 полугодии 2024 года, осущес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влялось в установленные сроки и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основном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полном объеме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Style w:val="855"/>
          <w:rFonts w:ascii="Times New Roman" w:hAnsi="Times New Roman" w:eastAsia="Times New Roman" w:cs="Times New Roman"/>
          <w:i w:val="0"/>
          <w:color w:val="ff0000"/>
          <w:sz w:val="24"/>
          <w:szCs w:val="24"/>
          <w:lang w:eastAsia="ru-RU"/>
        </w:rPr>
      </w:r>
      <w:r>
        <w:rPr>
          <w:rStyle w:val="855"/>
          <w:rFonts w:ascii="Times New Roman" w:hAnsi="Times New Roman" w:cs="Times New Roman"/>
          <w:i w:val="0"/>
          <w:color w:val="ff0000"/>
          <w:sz w:val="24"/>
          <w:szCs w:val="24"/>
        </w:rPr>
      </w:r>
      <w:r>
        <w:rPr>
          <w:rStyle w:val="855"/>
          <w:rFonts w:ascii="Times New Roman" w:hAnsi="Times New Roman" w:cs="Times New Roman"/>
          <w:i w:val="0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850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6" w:hanging="360"/>
        <w:tabs>
          <w:tab w:val="num" w:pos="966" w:leader="none"/>
        </w:tabs>
      </w:pPr>
      <w:rPr>
        <w:rFonts w:ascii="Symbol" w:hAnsi="Symbol"/>
        <w:b w:val="0"/>
        <w:i w:val="0"/>
        <w:spacing w:val="0"/>
        <w:position w:val="0"/>
        <w:sz w:val="1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709" w:leader="none"/>
        </w:tabs>
      </w:pPr>
      <w:rPr>
        <w:rFonts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947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6" w:hanging="360"/>
        <w:tabs>
          <w:tab w:val="num" w:pos="966" w:leader="none"/>
        </w:tabs>
      </w:pPr>
      <w:rPr>
        <w:rFonts w:ascii="Symbol" w:hAnsi="Symbol"/>
        <w:b w:val="0"/>
        <w:i w:val="0"/>
        <w:spacing w:val="0"/>
        <w:position w:val="0"/>
        <w:sz w:val="1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59"/>
    <w:next w:val="85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59"/>
    <w:next w:val="85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59"/>
    <w:next w:val="85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59"/>
    <w:next w:val="85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59"/>
    <w:next w:val="85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59"/>
    <w:next w:val="8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59"/>
    <w:next w:val="85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59"/>
    <w:next w:val="85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59"/>
    <w:next w:val="85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59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59"/>
    <w:next w:val="859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59"/>
    <w:next w:val="859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59"/>
    <w:next w:val="859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59"/>
    <w:next w:val="859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5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59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59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59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44">
    <w:name w:val="Normal"/>
    <w:next w:val="844"/>
    <w:link w:val="844"/>
    <w:qFormat/>
    <w:rPr>
      <w:sz w:val="24"/>
      <w:szCs w:val="24"/>
      <w:lang w:val="ru-RU" w:eastAsia="ar-SA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semiHidden/>
    <w:tblPr/>
  </w:style>
  <w:style w:type="numbering" w:styleId="847">
    <w:name w:val="Нет списка"/>
    <w:next w:val="847"/>
    <w:link w:val="844"/>
    <w:semiHidden/>
  </w:style>
  <w:style w:type="paragraph" w:styleId="848">
    <w:name w:val="Основной текст"/>
    <w:basedOn w:val="844"/>
    <w:next w:val="848"/>
    <w:link w:val="844"/>
    <w:pPr>
      <w:spacing w:after="120"/>
      <w:widowControl w:val="off"/>
    </w:pPr>
    <w:rPr>
      <w:rFonts w:eastAsia="SimSun" w:cs="Mangal"/>
      <w:lang w:eastAsia="hi-IN" w:bidi="hi-IN"/>
    </w:rPr>
  </w:style>
  <w:style w:type="paragraph" w:styleId="849">
    <w:name w:val="Основной текст с отступом 21"/>
    <w:basedOn w:val="844"/>
    <w:next w:val="849"/>
    <w:link w:val="844"/>
    <w:pPr>
      <w:ind w:firstLine="720"/>
      <w:jc w:val="both"/>
      <w:widowControl w:val="off"/>
    </w:pPr>
    <w:rPr>
      <w:rFonts w:eastAsia="SimSun" w:cs="Mangal"/>
      <w:sz w:val="26"/>
      <w:lang w:eastAsia="hi-IN" w:bidi="hi-IN"/>
    </w:rPr>
  </w:style>
  <w:style w:type="paragraph" w:styleId="850">
    <w:name w:val="ConsPlusNormal"/>
    <w:next w:val="850"/>
    <w:link w:val="844"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851">
    <w:name w:val="Стандартный HTML"/>
    <w:basedOn w:val="844"/>
    <w:next w:val="851"/>
    <w:link w:val="844"/>
    <w:pPr>
      <w:widowControl w:val="off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zh-CN"/>
    </w:rPr>
  </w:style>
  <w:style w:type="character" w:styleId="852">
    <w:name w:val="Основной текст_"/>
    <w:next w:val="852"/>
    <w:link w:val="853"/>
    <w:rPr>
      <w:spacing w:val="3"/>
      <w:sz w:val="21"/>
      <w:szCs w:val="21"/>
      <w:shd w:val="clear" w:color="auto" w:fill="ffffff"/>
    </w:rPr>
  </w:style>
  <w:style w:type="paragraph" w:styleId="853">
    <w:name w:val="Основной текст1"/>
    <w:basedOn w:val="844"/>
    <w:next w:val="853"/>
    <w:link w:val="852"/>
    <w:pPr>
      <w:jc w:val="center"/>
      <w:spacing w:before="240" w:line="274" w:lineRule="exact"/>
      <w:shd w:val="clear" w:color="auto" w:fill="ffffff"/>
      <w:widowControl w:val="off"/>
    </w:pPr>
    <w:rPr>
      <w:spacing w:val="3"/>
      <w:sz w:val="21"/>
      <w:szCs w:val="21"/>
      <w:lang w:val="en-US" w:eastAsia="en-US"/>
    </w:rPr>
  </w:style>
  <w:style w:type="paragraph" w:styleId="854">
    <w:name w:val="ConsNormal"/>
    <w:next w:val="854"/>
    <w:link w:val="844"/>
    <w:pPr>
      <w:ind w:firstLine="720"/>
      <w:widowControl w:val="off"/>
    </w:pPr>
    <w:rPr>
      <w:rFonts w:ascii="Arial" w:hAnsi="Arial" w:eastAsia="Arial" w:cs="Arial"/>
      <w:lang w:val="ru-RU" w:eastAsia="zh-CN" w:bidi="ar-SA"/>
    </w:rPr>
  </w:style>
  <w:style w:type="character" w:styleId="855">
    <w:name w:val="Выделение"/>
    <w:next w:val="855"/>
    <w:link w:val="844"/>
    <w:uiPriority w:val="20"/>
    <w:qFormat/>
    <w:rPr>
      <w:i/>
      <w:iCs/>
    </w:rPr>
  </w:style>
  <w:style w:type="paragraph" w:styleId="856">
    <w:name w:val="Текст выноски"/>
    <w:basedOn w:val="844"/>
    <w:next w:val="856"/>
    <w:link w:val="857"/>
    <w:rPr>
      <w:rFonts w:ascii="Tahoma" w:hAnsi="Tahoma"/>
      <w:sz w:val="16"/>
      <w:szCs w:val="16"/>
      <w:lang w:val="en-US"/>
    </w:rPr>
  </w:style>
  <w:style w:type="character" w:styleId="857">
    <w:name w:val=" Знак Знак"/>
    <w:next w:val="857"/>
    <w:link w:val="856"/>
    <w:rPr>
      <w:rFonts w:ascii="Tahoma" w:hAnsi="Tahoma" w:cs="Tahoma"/>
      <w:sz w:val="16"/>
      <w:szCs w:val="16"/>
      <w:lang w:eastAsia="ar-SA"/>
    </w:rPr>
  </w:style>
  <w:style w:type="character" w:styleId="858">
    <w:name w:val="WW8Num2z1"/>
    <w:next w:val="858"/>
    <w:link w:val="844"/>
    <w:rPr>
      <w:rFonts w:ascii="Courier New" w:hAnsi="Courier New" w:cs="Courier New"/>
    </w:rPr>
  </w:style>
  <w:style w:type="paragraph" w:styleId="859">
    <w:name w:val="Normal"/>
    <w:next w:val="859"/>
    <w:link w:val="844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860">
    <w:name w:val="Обычный (веб)"/>
    <w:basedOn w:val="844"/>
    <w:next w:val="860"/>
    <w:link w:val="844"/>
    <w:pPr>
      <w:jc w:val="both"/>
      <w:spacing w:before="280" w:after="119"/>
    </w:pPr>
    <w:rPr>
      <w:lang w:eastAsia="zh-CN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34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мероприятий</dc:title>
  <dc:creator>12</dc:creator>
  <cp:revision>12</cp:revision>
  <dcterms:created xsi:type="dcterms:W3CDTF">2023-03-16T12:32:00Z</dcterms:created>
  <dcterms:modified xsi:type="dcterms:W3CDTF">2024-08-02T10:03:20Z</dcterms:modified>
  <cp:version>730895</cp:version>
</cp:coreProperties>
</file>