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Развитие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Сла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8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Малое и среднее предпринимательство является неотъемлемой и важной частью экономической системы Сланцевского муниципального района.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ряда лет малое и среднее предпринимательство развивалось стабильно: сложилась отраслевая структура, сфо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мировалась производственная сфера.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1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Предприятия малого бизнеса занимают значительное место в экономической и социальной сферах, способствуя созданию новых рабочих мест и обеспечению занятости населения, насыщению потребительского рынка товарами и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ми, формированию конкурентной среды, усиливая стабильность налоговых поступлений в бюджет.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Сланцевского района на 01.01.2024 зарегистрировано: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400 организаций (в том числе 238 малых и средних организаций),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1126 индивидуальных предпринимателей.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Количество самозанятых граждан  составило 2757 человек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(увеличение на 43 % к 2022 году)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Основной преобладающей отраслью экономики Сланцевского муниципального района является промышленность. Промышленностью района выпускаются, как товары производс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венно-технического назн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чения, так и народного потребления.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Оборот крупных и средних предприятий за 2023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год состав 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22,7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млрд. руб.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что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6% в действующих ценах больше, чем за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Отгрузка товаров собственного производства, выполнение работ и услуг крупными и средними предприятиями увеличилась на 4% и составила 18,0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млрд. руб.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18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Малые предприятия представляют различные виды производства: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ООО «Инновационные технологии»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производство фенольной пленки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ЗАО «Неозон»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ыпуск пластичных смазок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«Научно-производственное предприятие «Сланцевский завод пружин»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роизводство изделий из проволоки, цепей и пружин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«Сварог»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древесной щепы)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«БТР-С»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защитной специализированной обуви)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«Перспектива»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чемоданов, дамских сумок и аналогичных изделий из кожи)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«Исток»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(пошив верхней женской и мужской одежды)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«Закройщик»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</w:t>
      </w:r>
      <w:r>
        <w:rPr>
          <w:rStyle w:val="1_734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роизводство верхней одежды)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«Пим-Конструкция»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строительных металлических конструкций и изделий)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ПКФ «Дизайн»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товарного бетона)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«РМЗ»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ko-KR" w:bidi="hi-IN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ko-KR" w:bidi="hi-IN"/>
        </w:rPr>
        <w:t xml:space="preserve">роизводство строительных металлических конструкций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ko-KR" w:bidi="hi-IN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«Промресурс»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прочих металлических цистерн, резервуаров и емкостей)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«Петербургская керамика»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(производство хозяйственных и декоративных керамических изделий)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«ЭМ-КОМП»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(р</w:t>
      </w:r>
      <w:r>
        <w:rPr>
          <w:rStyle w:val="1_734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емонт электрического оборудования)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ООО «Сланцы-Электромонтаж»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</w:t>
      </w:r>
      <w:r>
        <w:rPr>
          <w:rStyle w:val="1_734"/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ремонт электрического оборудования)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instrText xml:space="preserve"> HYPERLINK "http://slanmo.ru/ooo-areol.html" \o "ООО \«Ареоль\»" </w:instrTex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ООО «Ареоль»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(деятельность в сфере общественного питания)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Численность занятых у субъектов малого и среднего предпринимательства по итогам 2023 года составляет 6634 человека, что на  18,7 % выше, чем по итогам 2022 года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5587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человек). Доля занятых в малом бизнесе от занят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ых в экономике составляет 55 %.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323693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47880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939789" cy="3236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0pt;height:254.88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Предпринимателями района активно используются все виды поддержки – информационная, финансовая, имущественная.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618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Основная и наиболее востребованная и эффективная мера поддержки – это финансовая, реализуемая путем субсидирования субъектов малого и среднего предпринимательства.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8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Данный вид поддержки является одним из самых действенных механизмов поддержки малого и среднего бизнеса, который направл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 на решение проблем, связанных с недостатком финансовых средств на создание и развитие бизнеса.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Сланцевский район традиционно на протяжении многих лет является лидером среди районов Ленинградской области по сумме привлекаемых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средств из областного бюджета для оказания финансовой поддержки субъектам малого и среднего предпринимательства.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2019 года субсидии получили 99 субъектов предпринимательской деятельности на общую сумму 63 млн. руб. За этот период создано 164 рабочих места.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01809150" behindDoc="0" locked="0" layoutInCell="1" allowOverlap="1">
                <wp:simplePos x="0" y="0"/>
                <wp:positionH relativeFrom="column">
                  <wp:posOffset>595460</wp:posOffset>
                </wp:positionH>
                <wp:positionV relativeFrom="paragraph">
                  <wp:posOffset>184999</wp:posOffset>
                </wp:positionV>
                <wp:extent cx="4567895" cy="2398339"/>
                <wp:effectExtent l="0" t="0" r="0" b="0"/>
                <wp:wrapTopAndBottom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2412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567894" cy="2398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01809150;o:allowoverlap:true;o:allowincell:true;mso-position-horizontal-relative:text;margin-left:46.89pt;mso-position-horizontal:absolute;mso-position-vertical-relative:text;margin-top:14.57pt;mso-position-vertical:absolute;width:359.68pt;height:188.85pt;mso-wrap-distance-left:9.07pt;mso-wrap-distance-top:0.00pt;mso-wrap-distance-right:9.07pt;mso-wrap-distance-bottom:0.00pt;rotation:0;" stroked="false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/>
      <w:r/>
    </w:p>
    <w:p>
      <w:pPr>
        <w:ind w:firstLine="6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</w:p>
    <w:p>
      <w:pPr>
        <w:pStyle w:val="618"/>
        <w:ind w:firstLine="426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c00000"/>
          <w:sz w:val="28"/>
          <w:szCs w:val="28"/>
          <w:highlight w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Финансовая поддержка компенсировала затраты субъектов малого и среднего предпринимательства на приобретение производственного и профессионального обор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удования, грузовых и пассажирских автотранспортных средств.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в 2023 году предоставлены субсидии субъектам социального пре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принимательства для компенсации части затрат, связанных с приобретением оборудования. Поддержку за счет средств бюджета района получили 3 субъекта малого предпринимательства на общую сумму 40,0 тыс.руб.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425"/>
        <w:jc w:val="both"/>
        <w:rPr>
          <w:rFonts w:ascii="Times New Roman" w:hAnsi="Times New Roman" w:cs="Times New Roman"/>
          <w:color w:val="auto" w:themeColor="text1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территории района успешно раб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отает Фонд поддержки малого и среднего предпринимательства «Социально-деловой центр», который оказывает информационную, консультационную поддержку, проводит курсы «Введение в предпринимательство». По завершении курсов 40% об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учившихся открывают свой бизнес.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Предприниматели Сланцевского района принимают активное участие в областных и районных мероприятиях.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618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Сдерживающими факторами развития предпринимательства являются большие затр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ты на оплату аренды помещений, затраты на подключение к электросетям, низкий уровень конк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рентоспособности субъектов малого предпринимательства, связанный с их узкой специализ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цией (преимущес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венно сфера услуг и торговля) и др.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pStyle w:val="618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Основным препятствием  развитию  малого бизнеса  в сферах здравоохранения, образ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вания и социального обеспечения является сложность лицензирования данных видов деятел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ности.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Практически все субъекты малого и среднего предпринимательства обеспечивают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плату заработной платы не ниже прожиточного минимума, ведется работа по выплате зарабо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ной платы не ниже среднеотраслевой.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Мониторинг обновления Единого реестра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субъектов МСП на сайте ФНС (10.01.2024)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W w:w="8981" w:type="dxa"/>
        <w:jc w:val="center"/>
        <w:tblInd w:w="-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277"/>
        <w:gridCol w:w="1570"/>
        <w:gridCol w:w="1629"/>
        <w:gridCol w:w="1629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2277" w:type="dxa"/>
            <w:vAlign w:val="top"/>
            <w:vMerge w:val="restart"/>
            <w:textDirection w:val="lrTb"/>
            <w:noWrap w:val="false"/>
          </w:tcPr>
          <w:p>
            <w:pPr>
              <w:pStyle w:val="6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Муниципальный район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gridSpan w:val="3"/>
            <w:tcW w:w="482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субъектов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</w:p>
        </w:tc>
        <w:tc>
          <w:tcPr>
            <w:tcW w:w="1876" w:type="dxa"/>
            <w:vAlign w:val="top"/>
            <w:vMerge w:val="restart"/>
            <w:textDirection w:val="lrTb"/>
            <w:noWrap w:val="false"/>
          </w:tcPr>
          <w:p>
            <w:pPr>
              <w:pStyle w:val="6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Уровень к началу года, %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2277" w:type="dxa"/>
            <w:vAlign w:val="top"/>
            <w:vMerge w:val="continue"/>
            <w:textDirection w:val="lrTb"/>
            <w:noWrap w:val="false"/>
          </w:tcPr>
          <w:p>
            <w:pPr>
              <w:pStyle w:val="618"/>
              <w:jc w:val="both"/>
              <w:rPr>
                <w:rFonts w:cs="Mangal"/>
                <w:sz w:val="28"/>
                <w:szCs w:val="28"/>
                <w:lang w:bidi="hi-IN"/>
              </w:rPr>
            </w:pPr>
            <w:r>
              <w:rPr>
                <w:rFonts w:cs="Mangal"/>
                <w:sz w:val="28"/>
                <w:szCs w:val="28"/>
                <w:lang w:bidi="hi-IN"/>
              </w:rPr>
            </w:r>
            <w:r>
              <w:rPr>
                <w:rFonts w:cs="Mangal"/>
                <w:sz w:val="28"/>
                <w:szCs w:val="28"/>
                <w:lang w:bidi="hi-IN"/>
              </w:rPr>
            </w:r>
          </w:p>
        </w:tc>
        <w:tc>
          <w:tcPr>
            <w:tcW w:w="15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на 10.01. 2022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62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на 01.01. 2023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62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на 01.01. 2024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</w:p>
        </w:tc>
        <w:tc>
          <w:tcPr>
            <w:tcW w:w="1876" w:type="dxa"/>
            <w:vAlign w:val="top"/>
            <w:vMerge w:val="continue"/>
            <w:textDirection w:val="lrTb"/>
            <w:noWrap w:val="false"/>
          </w:tcPr>
          <w:p>
            <w:pPr>
              <w:pStyle w:val="618"/>
              <w:jc w:val="both"/>
              <w:rPr>
                <w:rFonts w:cs="Mangal"/>
                <w:sz w:val="28"/>
                <w:szCs w:val="28"/>
                <w:lang w:bidi="hi-IN"/>
              </w:rPr>
            </w:pPr>
            <w:r>
              <w:rPr>
                <w:rFonts w:cs="Mangal"/>
                <w:sz w:val="28"/>
                <w:szCs w:val="28"/>
                <w:lang w:bidi="hi-IN"/>
              </w:rPr>
            </w:r>
            <w:r>
              <w:rPr>
                <w:rFonts w:cs="Mangal"/>
                <w:sz w:val="28"/>
                <w:szCs w:val="28"/>
                <w:lang w:bidi="hi-I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"/>
        </w:trPr>
        <w:tc>
          <w:tcPr>
            <w:tcW w:w="2277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Сланцевский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5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1 302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62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1353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62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1364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</w:p>
        </w:tc>
        <w:tc>
          <w:tcPr>
            <w:tcW w:w="187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100,8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18"/>
        <w:jc w:val="center"/>
        <w:spacing w:line="20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hi-IN"/>
        </w:rPr>
        <w:t xml:space="preserve">Количество субъектов МСП в расчете на 1000 человек населения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18"/>
        <w:jc w:val="center"/>
        <w:spacing w:line="20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hi-IN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tbl>
      <w:tblPr>
        <w:tblW w:w="9007" w:type="dxa"/>
        <w:jc w:val="center"/>
        <w:tblInd w:w="-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466"/>
        <w:gridCol w:w="3665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2"/>
        </w:trPr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субъектов МСП по состоянию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на 10.01.2024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W w:w="36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постоянного населения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на 01.01.2024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W w:w="187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1364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6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44406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87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30,72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1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jc w:val="center"/>
        <w:spacing w:line="2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hi-IN"/>
        </w:rPr>
        <w:t xml:space="preserve">Численность занятых в сфере МСП по итогам 2023 года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hi-IN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tbl>
      <w:tblPr>
        <w:tblW w:w="9008" w:type="dxa"/>
        <w:tblInd w:w="17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878"/>
        <w:gridCol w:w="1470"/>
        <w:gridCol w:w="1770"/>
        <w:gridCol w:w="1693"/>
        <w:gridCol w:w="1559"/>
        <w:gridCol w:w="1638"/>
      </w:tblGrid>
      <w:tr>
        <w:tblPrEx/>
        <w:trPr>
          <w:trHeight w:val="1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Кол-во ИП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ЮЛ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Сумма ССЧ работников ЮЛ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Сумма ССЧ работников ИП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Количество НПД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(без ИП)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занятых в сфере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9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1126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238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1 814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957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2757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6634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p>
      <w:pPr>
        <w:pStyle w:val="618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Доля занятых в малом бизнесе от занят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ых в экономике</w:t>
      </w:r>
      <w:r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tbl>
      <w:tblPr>
        <w:tblW w:w="9007" w:type="dxa"/>
        <w:jc w:val="center"/>
        <w:tblInd w:w="-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466"/>
        <w:gridCol w:w="3665"/>
        <w:gridCol w:w="1876"/>
      </w:tblGrid>
      <w:tr>
        <w:tblPrEx/>
        <w:trPr>
          <w:trHeight w:val="1092"/>
        </w:trPr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занятых в сфере МСП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6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Численность всего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87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tcW w:w="346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6634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665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12054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187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hi-IN"/>
              </w:rPr>
              <w:t xml:space="preserve">55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61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c00000"/>
          <w:sz w:val="28"/>
          <w:szCs w:val="28"/>
        </w:rPr>
      </w:r>
      <w:r>
        <w:rPr>
          <w:rFonts w:ascii="Times New Roman" w:hAnsi="Times New Roman" w:cs="Times New Roman"/>
          <w:color w:val="c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Batang">
    <w:panose1 w:val="02010600030101010101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ascii="Courier New" w:hAnsi="Courier New" w:cs="Courier New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ascii="Wingdings" w:hAnsi="Wingdings" w:cs="Wingdings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ar-SA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???????"/>
    <w:next w:val="622"/>
    <w:link w:val="618"/>
    <w:pPr>
      <w:spacing w:line="200" w:lineRule="atLeast"/>
    </w:pPr>
    <w:rPr>
      <w:rFonts w:ascii="Mangal" w:hAnsi="Lucida Sans Unicode" w:eastAsia="Batang" w:cs="Mangal"/>
      <w:color w:val="ffffff"/>
      <w:sz w:val="36"/>
      <w:szCs w:val="36"/>
      <w:lang w:val="ru-RU" w:eastAsia="ko-KR" w:bidi="hi-IN"/>
    </w:rPr>
  </w:style>
  <w:style w:type="character" w:styleId="1138" w:default="1">
    <w:name w:val="Default Paragraph Font"/>
    <w:uiPriority w:val="1"/>
    <w:semiHidden/>
    <w:unhideWhenUsed/>
  </w:style>
  <w:style w:type="numbering" w:styleId="1139" w:default="1">
    <w:name w:val="No List"/>
    <w:uiPriority w:val="99"/>
    <w:semiHidden/>
    <w:unhideWhenUsed/>
  </w:style>
  <w:style w:type="table" w:styleId="1140" w:default="1">
    <w:name w:val="Normal Table"/>
    <w:uiPriority w:val="99"/>
    <w:semiHidden/>
    <w:unhideWhenUsed/>
    <w:tblPr/>
  </w:style>
  <w:style w:type="character" w:styleId="1_734" w:customStyle="1">
    <w:name w:val="extendedtext-short extended-text__short"/>
    <w:basedOn w:val="909"/>
    <w:next w:val="990"/>
    <w:link w:val="90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34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малого и среднего предпринимательства</dc:title>
  <dc:creator>12</dc:creator>
  <cp:revision>5</cp:revision>
  <dcterms:created xsi:type="dcterms:W3CDTF">2023-03-30T13:18:00Z</dcterms:created>
  <dcterms:modified xsi:type="dcterms:W3CDTF">2024-04-10T12:22:35Z</dcterms:modified>
  <cp:version>730895</cp:version>
</cp:coreProperties>
</file>