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6A" w:rsidRPr="0058731B" w:rsidRDefault="00FF6E6A" w:rsidP="00FF6E6A">
      <w:pPr>
        <w:tabs>
          <w:tab w:val="left" w:pos="993"/>
        </w:tabs>
        <w:jc w:val="center"/>
        <w:rPr>
          <w:rFonts w:cs="Times New Roman"/>
          <w:sz w:val="28"/>
          <w:szCs w:val="28"/>
        </w:rPr>
      </w:pPr>
      <w:r w:rsidRPr="0058731B">
        <w:rPr>
          <w:rFonts w:cs="Times New Roman"/>
          <w:sz w:val="28"/>
          <w:szCs w:val="28"/>
        </w:rPr>
        <w:t xml:space="preserve">Рейтинг </w:t>
      </w:r>
      <w:r w:rsidRPr="0058731B">
        <w:rPr>
          <w:rFonts w:eastAsiaTheme="minorHAnsi" w:cs="Times New Roman"/>
          <w:kern w:val="0"/>
          <w:sz w:val="28"/>
          <w:szCs w:val="28"/>
          <w:lang w:eastAsia="en-US" w:bidi="ar-SA"/>
        </w:rPr>
        <w:t>главных распорядителей средств бюджета муниципального</w:t>
      </w:r>
      <w:r w:rsidRPr="0058731B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образования Сланцевский муниципальный район Ленинградской области</w:t>
      </w:r>
      <w:r w:rsidRPr="0058731B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по ре</w:t>
      </w:r>
      <w:r w:rsidRPr="0058731B">
        <w:rPr>
          <w:rFonts w:cs="Times New Roman"/>
          <w:sz w:val="28"/>
          <w:szCs w:val="28"/>
        </w:rPr>
        <w:t>зультатам оценки качества финансового менеджмента ГРБС</w:t>
      </w:r>
      <w:r w:rsidRPr="0058731B">
        <w:rPr>
          <w:rFonts w:cs="Times New Roman"/>
          <w:sz w:val="28"/>
          <w:szCs w:val="28"/>
        </w:rPr>
        <w:br/>
        <w:t>за 202</w:t>
      </w:r>
      <w:r w:rsidR="0058731B" w:rsidRPr="0058731B">
        <w:rPr>
          <w:rFonts w:cs="Times New Roman"/>
          <w:sz w:val="28"/>
          <w:szCs w:val="28"/>
        </w:rPr>
        <w:t>2</w:t>
      </w:r>
      <w:r w:rsidRPr="0058731B">
        <w:rPr>
          <w:rFonts w:cs="Times New Roman"/>
          <w:sz w:val="28"/>
          <w:szCs w:val="28"/>
        </w:rPr>
        <w:t xml:space="preserve"> год</w:t>
      </w:r>
    </w:p>
    <w:p w:rsidR="00F065B7" w:rsidRPr="0058731B" w:rsidRDefault="00F065B7" w:rsidP="00F065B7">
      <w:pPr>
        <w:tabs>
          <w:tab w:val="left" w:pos="993"/>
        </w:tabs>
        <w:jc w:val="both"/>
        <w:rPr>
          <w:rFonts w:cs="Times New Roman"/>
          <w:sz w:val="18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3"/>
        <w:gridCol w:w="990"/>
        <w:gridCol w:w="709"/>
        <w:gridCol w:w="1134"/>
        <w:gridCol w:w="992"/>
        <w:gridCol w:w="992"/>
        <w:gridCol w:w="992"/>
        <w:gridCol w:w="959"/>
      </w:tblGrid>
      <w:tr w:rsidR="0058731B" w:rsidRPr="0058731B" w:rsidTr="0058731B">
        <w:trPr>
          <w:trHeight w:val="360"/>
        </w:trPr>
        <w:tc>
          <w:tcPr>
            <w:tcW w:w="17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581F" w:rsidRPr="0058731B" w:rsidRDefault="00F6581F" w:rsidP="00F6581F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58731B">
              <w:rPr>
                <w:rFonts w:cs="Times New Roman"/>
                <w:sz w:val="22"/>
                <w:szCs w:val="28"/>
              </w:rPr>
              <w:t>Наименование ГРБС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581F" w:rsidRPr="0058731B" w:rsidRDefault="00F6581F" w:rsidP="00665092">
            <w:pPr>
              <w:tabs>
                <w:tab w:val="left" w:pos="993"/>
              </w:tabs>
              <w:ind w:left="-108" w:right="-107"/>
              <w:jc w:val="center"/>
              <w:rPr>
                <w:rFonts w:cs="Times New Roman"/>
                <w:sz w:val="22"/>
                <w:szCs w:val="28"/>
              </w:rPr>
            </w:pPr>
            <w:r w:rsidRPr="0058731B">
              <w:rPr>
                <w:rFonts w:cs="Times New Roman"/>
                <w:sz w:val="22"/>
                <w:szCs w:val="28"/>
              </w:rPr>
              <w:t>Степень качества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6581F" w:rsidRPr="0058731B" w:rsidRDefault="00F6581F" w:rsidP="00766339">
            <w:pPr>
              <w:tabs>
                <w:tab w:val="left" w:pos="993"/>
              </w:tabs>
              <w:ind w:left="-107" w:right="-109"/>
              <w:jc w:val="center"/>
              <w:rPr>
                <w:rFonts w:cs="Times New Roman"/>
                <w:sz w:val="22"/>
                <w:szCs w:val="28"/>
              </w:rPr>
            </w:pPr>
            <w:r w:rsidRPr="0058731B">
              <w:rPr>
                <w:rFonts w:cs="Times New Roman"/>
                <w:sz w:val="22"/>
                <w:szCs w:val="28"/>
              </w:rPr>
              <w:t>Место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6581F" w:rsidRPr="0058731B" w:rsidRDefault="00F6581F" w:rsidP="00F6581F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58731B">
              <w:rPr>
                <w:rFonts w:cs="Times New Roman"/>
                <w:sz w:val="22"/>
                <w:szCs w:val="28"/>
              </w:rPr>
              <w:t>Итоговая оценка</w:t>
            </w:r>
          </w:p>
        </w:tc>
        <w:tc>
          <w:tcPr>
            <w:tcW w:w="1888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81F" w:rsidRPr="0058731B" w:rsidRDefault="00F6581F" w:rsidP="00F6581F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58731B">
              <w:rPr>
                <w:rFonts w:cs="Times New Roman"/>
                <w:sz w:val="22"/>
                <w:szCs w:val="28"/>
              </w:rPr>
              <w:t>Оценка по группе показателей</w:t>
            </w:r>
          </w:p>
        </w:tc>
      </w:tr>
      <w:tr w:rsidR="0058731B" w:rsidRPr="0058731B" w:rsidTr="0058731B">
        <w:trPr>
          <w:trHeight w:val="2921"/>
        </w:trPr>
        <w:tc>
          <w:tcPr>
            <w:tcW w:w="17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581F" w:rsidRPr="0058731B" w:rsidRDefault="00F6581F" w:rsidP="00F6581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6581F" w:rsidRPr="0058731B" w:rsidRDefault="00F6581F" w:rsidP="00F6581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6581F" w:rsidRPr="0058731B" w:rsidRDefault="00F6581F" w:rsidP="00F658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81F" w:rsidRPr="0058731B" w:rsidRDefault="00F6581F" w:rsidP="00F6581F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6581F" w:rsidRPr="0058731B" w:rsidRDefault="00F6581F" w:rsidP="00F6581F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58731B">
              <w:rPr>
                <w:rFonts w:cs="Times New Roman"/>
                <w:sz w:val="22"/>
                <w:szCs w:val="28"/>
              </w:rPr>
              <w:t>Качество планирования бюджета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extDirection w:val="btLr"/>
            <w:vAlign w:val="center"/>
          </w:tcPr>
          <w:p w:rsidR="00F6581F" w:rsidRPr="0058731B" w:rsidRDefault="00F6581F" w:rsidP="00F6581F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58731B">
              <w:rPr>
                <w:rFonts w:cs="Times New Roman"/>
                <w:sz w:val="22"/>
                <w:szCs w:val="28"/>
              </w:rPr>
              <w:t>Качество исполнения бюджета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6581F" w:rsidRPr="0058731B" w:rsidRDefault="00F6581F" w:rsidP="00F6581F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58731B">
              <w:rPr>
                <w:rFonts w:cs="Times New Roman"/>
                <w:sz w:val="22"/>
                <w:szCs w:val="28"/>
              </w:rPr>
              <w:t>Качество ведения учета и формирования отчетности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6581F" w:rsidRPr="0058731B" w:rsidRDefault="00F6581F" w:rsidP="00F6581F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58731B">
              <w:rPr>
                <w:rFonts w:cs="Times New Roman"/>
                <w:sz w:val="22"/>
                <w:szCs w:val="28"/>
              </w:rPr>
              <w:t>Качество осуществления внутреннего финансового контроля и аудита</w:t>
            </w:r>
          </w:p>
        </w:tc>
      </w:tr>
      <w:tr w:rsidR="0058731B" w:rsidRPr="0058731B" w:rsidTr="0058731B">
        <w:trPr>
          <w:trHeight w:val="259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Ревизионная комиссия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174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255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МУДО "СППЦ"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510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339" w:rsidRPr="0058731B" w:rsidRDefault="00766339" w:rsidP="00766339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Совет депутатов Сланцевского муниципального района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339" w:rsidRPr="0058731B" w:rsidRDefault="005873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339" w:rsidRPr="0058731B" w:rsidRDefault="0058731B" w:rsidP="00F6581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8731B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339" w:rsidRPr="0058731B" w:rsidRDefault="0058731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339" w:rsidRPr="0058731B" w:rsidRDefault="0058731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339" w:rsidRPr="0058731B" w:rsidRDefault="0058731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339" w:rsidRPr="0058731B" w:rsidRDefault="0058731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339" w:rsidRPr="0058731B" w:rsidRDefault="0058731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259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ind w:right="-108"/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МДОУ "Сланцевский детский сад №4"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255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 xml:space="preserve">МОУ "Овсищенская </w:t>
            </w:r>
            <w:proofErr w:type="gramStart"/>
            <w:r w:rsidRPr="0058731B">
              <w:rPr>
                <w:sz w:val="20"/>
                <w:szCs w:val="20"/>
              </w:rPr>
              <w:t>начальная</w:t>
            </w:r>
            <w:proofErr w:type="gramEnd"/>
            <w:r w:rsidRPr="0058731B">
              <w:rPr>
                <w:sz w:val="20"/>
                <w:szCs w:val="20"/>
              </w:rPr>
              <w:t xml:space="preserve"> школа-детский сад"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254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Администрация Сланцевского муниципального района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255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766339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МДОУ "Гостицкий детский сад № 20"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259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МДОУ "Сланцевский детский сад № 3"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259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МОУ "Загривская СОШ"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162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МДОУ "Сланцевский детский сад № 2"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58731B" w:rsidRPr="0058731B" w:rsidTr="0058731B">
        <w:trPr>
          <w:trHeight w:val="255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31B" w:rsidRPr="0058731B" w:rsidRDefault="0058731B" w:rsidP="0058731B">
            <w:pPr>
              <w:rPr>
                <w:sz w:val="20"/>
                <w:szCs w:val="20"/>
              </w:rPr>
            </w:pPr>
            <w:r w:rsidRPr="0058731B">
              <w:rPr>
                <w:sz w:val="20"/>
                <w:szCs w:val="20"/>
              </w:rPr>
              <w:t>КУМИ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731B" w:rsidRPr="0058731B" w:rsidRDefault="0058731B" w:rsidP="0058731B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731B" w:rsidRPr="0058731B" w:rsidRDefault="0058731B" w:rsidP="0058731B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685B8C" w:rsidRPr="00685B8C" w:rsidTr="00A81227">
        <w:trPr>
          <w:trHeight w:val="236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B8C" w:rsidRPr="00685B8C" w:rsidRDefault="00685B8C" w:rsidP="00A81227">
            <w:pPr>
              <w:rPr>
                <w:sz w:val="20"/>
                <w:szCs w:val="20"/>
              </w:rPr>
            </w:pPr>
            <w:r w:rsidRPr="00685B8C">
              <w:rPr>
                <w:sz w:val="20"/>
                <w:szCs w:val="20"/>
              </w:rPr>
              <w:t>МДОУ "Сланцевский детский сад № 5"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B8C" w:rsidRPr="00685B8C" w:rsidRDefault="00685B8C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5B8C" w:rsidRPr="00685B8C" w:rsidRDefault="00685B8C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5B8C" w:rsidRPr="00685B8C" w:rsidRDefault="00685B8C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5B8C" w:rsidRPr="00685B8C" w:rsidRDefault="00685B8C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B8C" w:rsidRPr="00685B8C" w:rsidRDefault="00685B8C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5B8C" w:rsidRPr="00685B8C" w:rsidRDefault="00685B8C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5B8C" w:rsidRPr="00685B8C" w:rsidRDefault="00685B8C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4</w:t>
            </w:r>
          </w:p>
        </w:tc>
      </w:tr>
      <w:tr w:rsidR="00CB521E" w:rsidRPr="00CB521E" w:rsidTr="00A81227">
        <w:trPr>
          <w:trHeight w:val="236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21E" w:rsidRPr="00CB521E" w:rsidRDefault="00CB521E" w:rsidP="00CB521E">
            <w:pPr>
              <w:rPr>
                <w:sz w:val="20"/>
                <w:szCs w:val="20"/>
              </w:rPr>
            </w:pPr>
            <w:r w:rsidRPr="00CB521E">
              <w:rPr>
                <w:sz w:val="20"/>
                <w:szCs w:val="20"/>
              </w:rPr>
              <w:t>МКУ "ФОК "СМР"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21E" w:rsidRPr="00CB521E" w:rsidRDefault="00CB521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4</w:t>
            </w:r>
          </w:p>
        </w:tc>
      </w:tr>
      <w:tr w:rsidR="00CB521E" w:rsidRPr="00CB521E" w:rsidTr="00A81227">
        <w:trPr>
          <w:trHeight w:val="254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21E" w:rsidRPr="00CB521E" w:rsidRDefault="00CB521E" w:rsidP="00A81227">
            <w:pPr>
              <w:rPr>
                <w:sz w:val="20"/>
                <w:szCs w:val="20"/>
              </w:rPr>
            </w:pPr>
            <w:r w:rsidRPr="00CB521E">
              <w:rPr>
                <w:sz w:val="20"/>
                <w:szCs w:val="20"/>
              </w:rPr>
              <w:t>МДОУ "Сланцевский детский сад №</w:t>
            </w:r>
            <w:r w:rsidRPr="00CB521E">
              <w:rPr>
                <w:sz w:val="4"/>
                <w:szCs w:val="4"/>
                <w:lang w:val="en-US"/>
              </w:rPr>
              <w:t xml:space="preserve"> </w:t>
            </w:r>
            <w:r w:rsidRPr="00CB521E">
              <w:rPr>
                <w:sz w:val="20"/>
                <w:szCs w:val="20"/>
              </w:rPr>
              <w:t>10"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21E" w:rsidRPr="00CB521E" w:rsidRDefault="00CB521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521E" w:rsidRPr="00CB521E" w:rsidRDefault="00CB521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3</w:t>
            </w:r>
          </w:p>
        </w:tc>
      </w:tr>
      <w:tr w:rsidR="002E580E" w:rsidRPr="002E580E" w:rsidTr="00A81227">
        <w:trPr>
          <w:trHeight w:val="242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0E" w:rsidRPr="002E580E" w:rsidRDefault="002E580E" w:rsidP="00A81227">
            <w:pPr>
              <w:rPr>
                <w:sz w:val="20"/>
                <w:szCs w:val="20"/>
              </w:rPr>
            </w:pPr>
            <w:r w:rsidRPr="002E580E">
              <w:rPr>
                <w:sz w:val="20"/>
                <w:szCs w:val="20"/>
              </w:rPr>
              <w:t>МДОУ "Сланцевский детский сад №</w:t>
            </w:r>
            <w:r w:rsidRPr="002E580E">
              <w:rPr>
                <w:sz w:val="4"/>
                <w:szCs w:val="20"/>
                <w:lang w:val="en-US"/>
              </w:rPr>
              <w:t xml:space="preserve"> </w:t>
            </w:r>
            <w:r w:rsidRPr="002E580E">
              <w:rPr>
                <w:sz w:val="20"/>
                <w:szCs w:val="20"/>
              </w:rPr>
              <w:t>15"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2E580E" w:rsidRPr="002E580E" w:rsidTr="0058731B">
        <w:trPr>
          <w:trHeight w:val="255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0E" w:rsidRPr="002E580E" w:rsidRDefault="002E580E" w:rsidP="00766339">
            <w:pPr>
              <w:rPr>
                <w:sz w:val="20"/>
                <w:szCs w:val="20"/>
              </w:rPr>
            </w:pPr>
            <w:r w:rsidRPr="002E580E">
              <w:rPr>
                <w:sz w:val="20"/>
                <w:szCs w:val="20"/>
              </w:rPr>
              <w:t>МОУ "Новосельская ООШ"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4</w:t>
            </w:r>
          </w:p>
        </w:tc>
      </w:tr>
      <w:tr w:rsidR="002E580E" w:rsidRPr="002E580E" w:rsidTr="00A81227">
        <w:trPr>
          <w:trHeight w:val="255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0E" w:rsidRPr="002E580E" w:rsidRDefault="002E580E" w:rsidP="00A81227">
            <w:pPr>
              <w:rPr>
                <w:sz w:val="20"/>
                <w:szCs w:val="20"/>
              </w:rPr>
            </w:pPr>
            <w:r w:rsidRPr="002E580E">
              <w:rPr>
                <w:sz w:val="20"/>
                <w:szCs w:val="20"/>
              </w:rPr>
              <w:t>МОУ "Старопольская СОШ"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4</w:t>
            </w:r>
          </w:p>
        </w:tc>
      </w:tr>
      <w:tr w:rsidR="002E580E" w:rsidRPr="002E580E" w:rsidTr="0058731B">
        <w:trPr>
          <w:trHeight w:val="255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0E" w:rsidRPr="002E580E" w:rsidRDefault="002E580E" w:rsidP="00766339">
            <w:pPr>
              <w:rPr>
                <w:sz w:val="20"/>
                <w:szCs w:val="20"/>
              </w:rPr>
            </w:pPr>
            <w:r w:rsidRPr="002E580E">
              <w:rPr>
                <w:sz w:val="20"/>
                <w:szCs w:val="20"/>
              </w:rPr>
              <w:t>МУ "РВС"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4</w:t>
            </w:r>
          </w:p>
        </w:tc>
      </w:tr>
      <w:tr w:rsidR="002E580E" w:rsidRPr="002E580E" w:rsidTr="0058731B">
        <w:trPr>
          <w:trHeight w:val="259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0E" w:rsidRPr="002E580E" w:rsidRDefault="002E580E" w:rsidP="00766339">
            <w:pPr>
              <w:rPr>
                <w:sz w:val="20"/>
                <w:szCs w:val="20"/>
              </w:rPr>
            </w:pPr>
            <w:r w:rsidRPr="002E580E">
              <w:rPr>
                <w:sz w:val="20"/>
                <w:szCs w:val="20"/>
              </w:rPr>
              <w:t>Комитет образования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580E" w:rsidRPr="002E580E" w:rsidRDefault="002E580E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2E580E" w:rsidRDefault="002E580E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4</w:t>
            </w:r>
          </w:p>
        </w:tc>
      </w:tr>
      <w:tr w:rsidR="001728CB" w:rsidRPr="001728CB" w:rsidTr="00A81227">
        <w:trPr>
          <w:trHeight w:val="259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0E" w:rsidRPr="001728CB" w:rsidRDefault="002E580E" w:rsidP="00A81227">
            <w:pPr>
              <w:rPr>
                <w:sz w:val="20"/>
                <w:szCs w:val="20"/>
              </w:rPr>
            </w:pPr>
            <w:r w:rsidRPr="001728CB">
              <w:rPr>
                <w:sz w:val="20"/>
                <w:szCs w:val="20"/>
              </w:rPr>
              <w:t>МКУК "СМЦРБ"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580E" w:rsidRPr="001728CB" w:rsidRDefault="001728CB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3</w:t>
            </w:r>
          </w:p>
        </w:tc>
      </w:tr>
      <w:tr w:rsidR="001728CB" w:rsidRPr="001728CB" w:rsidTr="0058731B">
        <w:trPr>
          <w:trHeight w:val="208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339" w:rsidRPr="001728CB" w:rsidRDefault="00766339" w:rsidP="00766339">
            <w:pPr>
              <w:rPr>
                <w:sz w:val="20"/>
                <w:szCs w:val="20"/>
              </w:rPr>
            </w:pPr>
            <w:r w:rsidRPr="001728CB">
              <w:rPr>
                <w:sz w:val="20"/>
                <w:szCs w:val="20"/>
              </w:rPr>
              <w:t>МОУ "Выскатская ООШ"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339" w:rsidRPr="001728CB" w:rsidRDefault="001728CB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339" w:rsidRPr="001728CB" w:rsidRDefault="001728CB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339" w:rsidRPr="001728CB" w:rsidRDefault="001728C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339" w:rsidRPr="001728CB" w:rsidRDefault="001728C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6339" w:rsidRPr="001728CB" w:rsidRDefault="001728C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339" w:rsidRPr="001728CB" w:rsidRDefault="001728C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339" w:rsidRPr="001728CB" w:rsidRDefault="001728CB" w:rsidP="00766339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</w:t>
            </w:r>
          </w:p>
        </w:tc>
      </w:tr>
      <w:tr w:rsidR="001728CB" w:rsidRPr="001728CB" w:rsidTr="002E580E">
        <w:trPr>
          <w:trHeight w:val="208"/>
        </w:trPr>
        <w:tc>
          <w:tcPr>
            <w:tcW w:w="17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0E" w:rsidRPr="001728CB" w:rsidRDefault="002E580E" w:rsidP="00A81227">
            <w:pPr>
              <w:rPr>
                <w:sz w:val="20"/>
                <w:szCs w:val="20"/>
              </w:rPr>
            </w:pPr>
            <w:r w:rsidRPr="001728CB">
              <w:rPr>
                <w:sz w:val="20"/>
                <w:szCs w:val="20"/>
              </w:rPr>
              <w:t>МДОУ "Сланцевский детский сад № 7"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580E" w:rsidRPr="001728CB" w:rsidRDefault="001728CB" w:rsidP="00A81227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80E" w:rsidRPr="001728CB" w:rsidRDefault="001728CB" w:rsidP="00A81227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65092" w:rsidRPr="001728CB" w:rsidRDefault="00665092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br w:type="page"/>
      </w:r>
    </w:p>
    <w:p w:rsidR="00D838AF" w:rsidRPr="001728CB" w:rsidRDefault="00D838AF" w:rsidP="00D838AF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Пояснительная записка к результатам </w:t>
      </w:r>
      <w:proofErr w:type="gramStart"/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>оценки качества финансового менеджмента</w:t>
      </w:r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главных распорядителей средств бюджета муниципального образования</w:t>
      </w:r>
      <w:proofErr w:type="gramEnd"/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Сланцевский муниципальный район Ленинградской области</w:t>
      </w:r>
    </w:p>
    <w:p w:rsidR="00D838AF" w:rsidRPr="001728CB" w:rsidRDefault="006E395C" w:rsidP="00D838AF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 </w:t>
      </w:r>
      <w:r w:rsidR="001728CB"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>2022</w:t>
      </w:r>
      <w:r w:rsidR="00D838AF"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</w:p>
    <w:p w:rsidR="00D838AF" w:rsidRPr="00F56197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Cs w:val="28"/>
          <w:lang w:eastAsia="en-US" w:bidi="ar-SA"/>
        </w:rPr>
      </w:pPr>
    </w:p>
    <w:p w:rsidR="00D838AF" w:rsidRPr="001728CB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>В соответствии с Порядком проведения оценки качества финансового менеджмента главных распорядителей средств бюджета муниципального образования Сланцевский муниципальный район Ленинградской области и бюджета муниципального образования Сланцевское городское поселение Сланцевского муниципального района Ленинградской области, утвержденным постановлением администрации Сланцевского муниципально</w:t>
      </w:r>
      <w:r w:rsidR="006E395C"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>го района от 22.02.2019 № 207-п</w:t>
      </w:r>
      <w:r w:rsidR="001728CB"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(с изменениями, внесенными постановлением от 21.07.2020 № 950-п)</w:t>
      </w:r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1728CB"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комитетом финансов администрации муниципального образования Сланцевский муниципальный район Ленинградской области </w:t>
      </w:r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>проведена оценка</w:t>
      </w:r>
      <w:proofErr w:type="gramEnd"/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качества финансового </w:t>
      </w:r>
      <w:proofErr w:type="gramStart"/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>менеджмента главных распорядителей средств бюджета муниципального образования</w:t>
      </w:r>
      <w:proofErr w:type="gramEnd"/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Сланцевский муниципальный район Ленинградской области (далее – ГРБС)</w:t>
      </w:r>
      <w:r w:rsidR="001728CB"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 2022 год</w:t>
      </w:r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>, по результатам которой составлен рейтинг ГРБС по качеству финансового менеджмента.</w:t>
      </w:r>
    </w:p>
    <w:p w:rsidR="00B16A73" w:rsidRPr="00A81227" w:rsidRDefault="00B16A73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728C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Согласно пункту 3 Порядка </w:t>
      </w:r>
      <w:r w:rsidRPr="00A8122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оценка не производилась в отношении муниципального </w:t>
      </w:r>
      <w:r w:rsidR="00C60846" w:rsidRPr="00A81227">
        <w:rPr>
          <w:rFonts w:eastAsiaTheme="minorHAnsi" w:cs="Times New Roman"/>
          <w:kern w:val="0"/>
          <w:sz w:val="28"/>
          <w:szCs w:val="28"/>
          <w:lang w:eastAsia="en-US" w:bidi="ar-SA"/>
        </w:rPr>
        <w:t>казенного учреждения «</w:t>
      </w:r>
      <w:r w:rsidR="001728CB" w:rsidRPr="00A81227">
        <w:rPr>
          <w:rFonts w:eastAsiaTheme="minorHAnsi" w:cs="Times New Roman"/>
          <w:kern w:val="0"/>
          <w:sz w:val="28"/>
          <w:szCs w:val="28"/>
          <w:lang w:eastAsia="en-US" w:bidi="ar-SA"/>
        </w:rPr>
        <w:t>Физкультурно-оздоровительный комплекс «Сланцы</w:t>
      </w:r>
      <w:r w:rsidRPr="00A8122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», которое было </w:t>
      </w:r>
      <w:r w:rsidR="001728CB" w:rsidRPr="00A8122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реорганизовано в 2022 </w:t>
      </w:r>
      <w:r w:rsidRPr="00A81227">
        <w:rPr>
          <w:rFonts w:eastAsiaTheme="minorHAnsi" w:cs="Times New Roman"/>
          <w:kern w:val="0"/>
          <w:sz w:val="28"/>
          <w:szCs w:val="28"/>
          <w:lang w:eastAsia="en-US" w:bidi="ar-SA"/>
        </w:rPr>
        <w:t>году.</w:t>
      </w:r>
    </w:p>
    <w:p w:rsidR="00D838AF" w:rsidRPr="005A1A9C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«Планирование бюджета»</w:t>
      </w:r>
      <w:r w:rsidR="006630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«Своевременность представления в отчетном году ГРБС финансового-экономического обоснования для составления проекта решения о бюджете на очередной финансовый год и плановый период», «Доля изменений, внесенных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</w:t>
      </w:r>
      <w:proofErr w:type="gramEnd"/>
      <w:r w:rsidR="006630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юридических лиц, имеющих целевое назначение, распределением средств резервного фонда администрации)» и «Отклонение первоначального плана по расходам от уточненного плана (без учета расходов за счет межбюджетных трансфертов, безвозмездных поступлений от физических и юридических лиц, имеющих целевое назначение, средств резервного фонда администрации)». По направлению оценки «Планирование бюджета» 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одному </w:t>
      </w:r>
      <w:r w:rsidR="00DB436A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</w:t>
      </w:r>
      <w:r w:rsidR="006630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присвоено максимально возможно</w:t>
      </w:r>
      <w:r w:rsidR="00DB436A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="006630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значени</w:t>
      </w:r>
      <w:r w:rsidR="00DB436A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е 7 балло</w:t>
      </w:r>
      <w:r w:rsidR="008172A6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в, </w:t>
      </w:r>
      <w:r w:rsidR="00A81227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пя</w:t>
      </w:r>
      <w:r w:rsidR="007E2F70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ти</w:t>
      </w:r>
      <w:r w:rsidR="008172A6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присвоено 6 баллов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, остальным ГРБС присвоено от 3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до 5 баллов</w:t>
      </w:r>
      <w:r w:rsidR="008172A6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5A1A9C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«Исполнение бюджета»</w:t>
      </w:r>
      <w:r w:rsidR="006630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«Соотношение кассовых расходов и плановых объемов бюджетных ассигнований ГРБС в отчетном году», «Отношение просроченной кредиторской задолженности ГРБС к объему кассовых расходов ГРБС в отчетном</w:t>
      </w:r>
      <w:proofErr w:type="gramEnd"/>
      <w:r w:rsidR="006630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году», «Изменение дебиторской задолженности ГРБС в отчетном периоде по сравнению с началом года» и «</w:t>
      </w:r>
      <w:r w:rsidR="00E56CFB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Доля возвращенных комитетом финансов заявок на оплату расходов ГРБС при осуществлении процедуры санкционирования расходов за счет средств бюджета</w:t>
      </w:r>
      <w:r w:rsidR="006630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».</w:t>
      </w:r>
      <w:r w:rsidR="00E56CFB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 направлению оценки </w:t>
      </w:r>
      <w:r w:rsidR="00E56CFB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«Исполнение бюджета» 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одному ГРБС присвоено ма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ксимально возможное значение 13 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баллов, четыре</w:t>
      </w:r>
      <w:r w:rsidR="008172A6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м</w:t>
      </w:r>
      <w:r w:rsidR="00E56CFB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присвоено 12 баллов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, се</w:t>
      </w:r>
      <w:r w:rsidR="00987513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ми ГРБС присвоено 11 баллов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остальным ГРБС присвоено от 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до 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10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баллов</w:t>
      </w:r>
      <w:r w:rsidR="00E56CFB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53324E" w:rsidRPr="005A1A9C" w:rsidRDefault="006630E9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«Ведение учета и формирование отчетности»</w:t>
      </w:r>
      <w:r w:rsidR="00E56CFB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«Своевременность представления в </w:t>
      </w:r>
      <w:r w:rsidR="00E56CFB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отчетном году ГРБС бюджетной (бухгалтерской) отчетности», «Соблюдение ГРБС требований по составу годовой бюджетной отчетности» и «Наличие в годовой бюджетной отчетности ГРБС за отчетный год заполненной таблицы «Сведения о проведении инвентаризации». По направлению оценки «Ведение учета и формирование отчетности» 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т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ри</w:t>
      </w:r>
      <w:r w:rsidR="00241BF4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надцати</w:t>
      </w:r>
      <w:r w:rsidR="00E56CFB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присвоено максимально возможное значение 3 балла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десяти</w:t>
      </w:r>
      <w:r w:rsidR="00427033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присвоено 2 балла</w:t>
      </w:r>
      <w:r w:rsidR="00E56CFB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2D471A" w:rsidRPr="005A1A9C" w:rsidRDefault="002D471A" w:rsidP="002D471A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части показателей направления оценки «Осуществление внутреннего финансового контроля и аудита» оценка произведена по показателям 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«Наличие в отчетном периоде случаев нарушений бюджетного законодательства, выявленных в ходе проведения контрольных мероприятий органом внутреннего муниципального финансового контроля или органом внутреннего финансового контроля» и «Проверка наличия правового акта ГРБС об организации внутреннего финансового аудита в ходе проведения контрольных мероприятий органом внутреннего муниципального финансового контроля</w:t>
      </w:r>
      <w:proofErr w:type="gramEnd"/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»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По направлению оценки «Осуществление внутреннего финансового контроля и аудита» 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девят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надцати ГРБС присвоено максимально возможное значение 4 балла, 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двум ГРБС присвоено3 балла, 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одному ГРБС 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присвоен 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балл,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одному</w:t>
      </w:r>
      <w:r w:rsidR="002A354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присвоено 0 баллов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F56197" w:rsidRDefault="00AF0F24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основании итоговой оценки качества финансового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менеджмента ГРБС за 202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шест</w:t>
      </w:r>
      <w:r w:rsidR="00DB436A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присвоена </w:t>
      </w:r>
      <w:r w:rsidRPr="005A1A9C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менеджмента, </w:t>
      </w:r>
      <w:r w:rsidR="005A1A9C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пят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над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цати ГРБС присвоена </w:t>
      </w:r>
      <w:r w:rsidRPr="005A1A9C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менеджмента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r w:rsidR="00DB436A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д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в</w:t>
      </w:r>
      <w:r w:rsidR="00DB436A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у</w:t>
      </w:r>
      <w:r w:rsidR="004F32E9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>м</w:t>
      </w:r>
      <w:r w:rsidR="00DB436A"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присвоена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5A1A9C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III</w:t>
      </w:r>
      <w:r w:rsidRPr="005A1A9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</w:t>
      </w:r>
      <w:r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менеджм</w:t>
      </w:r>
      <w:r w:rsidR="00DB436A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ента</w:t>
      </w:r>
      <w:r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241BF4" w:rsidRPr="00F56197" w:rsidRDefault="004E35EE" w:rsidP="00241BF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В</w:t>
      </w:r>
      <w:r w:rsidR="00241BF4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сравнени</w:t>
      </w:r>
      <w:r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="00241BF4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 результатам</w:t>
      </w:r>
      <w:r w:rsidR="00AB79CE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="00241BF4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оценки качества финансового менеджмента </w:t>
      </w:r>
      <w:r w:rsidR="007E2A38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</w:t>
      </w:r>
      <w:r w:rsidR="00D91321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за 202</w:t>
      </w:r>
      <w:r w:rsidR="005A1A9C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241BF4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</w:t>
      </w:r>
      <w:r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 </w:t>
      </w:r>
      <w:r w:rsidR="00F56197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восьми</w:t>
      </w:r>
      <w:r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ГРБС значения были улучшены, по </w:t>
      </w:r>
      <w:r w:rsidR="00F56197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двенадцати </w:t>
      </w:r>
      <w:r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ГРБС прои</w:t>
      </w:r>
      <w:r w:rsidR="0085091F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зошло снижение, по </w:t>
      </w:r>
      <w:r w:rsidR="00F56197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двум </w:t>
      </w:r>
      <w:r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ГРБС значени</w:t>
      </w:r>
      <w:r w:rsidR="00AB79CE" w:rsidRPr="00F56197">
        <w:rPr>
          <w:rFonts w:eastAsiaTheme="minorHAnsi" w:cs="Times New Roman"/>
          <w:kern w:val="0"/>
          <w:sz w:val="28"/>
          <w:szCs w:val="28"/>
          <w:lang w:eastAsia="en-US" w:bidi="ar-SA"/>
        </w:rPr>
        <w:t>я сохранились на прежнем уровне: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983"/>
        <w:gridCol w:w="983"/>
        <w:gridCol w:w="983"/>
        <w:gridCol w:w="983"/>
        <w:gridCol w:w="983"/>
        <w:gridCol w:w="983"/>
        <w:gridCol w:w="979"/>
      </w:tblGrid>
      <w:tr w:rsidR="0058731B" w:rsidRPr="0058731B" w:rsidTr="00D91321">
        <w:trPr>
          <w:trHeight w:val="360"/>
        </w:trPr>
        <w:tc>
          <w:tcPr>
            <w:tcW w:w="1684" w:type="pct"/>
            <w:vMerge w:val="restart"/>
            <w:shd w:val="clear" w:color="auto" w:fill="auto"/>
            <w:vAlign w:val="center"/>
          </w:tcPr>
          <w:p w:rsidR="00D91321" w:rsidRPr="0058731B" w:rsidRDefault="00D91321" w:rsidP="00D91321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8731B">
              <w:rPr>
                <w:rFonts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422" w:type="pct"/>
            <w:gridSpan w:val="3"/>
            <w:shd w:val="clear" w:color="auto" w:fill="auto"/>
            <w:vAlign w:val="center"/>
          </w:tcPr>
          <w:p w:rsidR="00D91321" w:rsidRPr="0058731B" w:rsidRDefault="00D91321" w:rsidP="0058731B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8731B">
              <w:rPr>
                <w:rFonts w:cs="Times New Roman"/>
                <w:sz w:val="20"/>
                <w:szCs w:val="20"/>
              </w:rPr>
              <w:t>Оценка за 202</w:t>
            </w:r>
            <w:r w:rsidR="0058731B" w:rsidRPr="0058731B">
              <w:rPr>
                <w:rFonts w:cs="Times New Roman"/>
                <w:sz w:val="20"/>
                <w:szCs w:val="20"/>
              </w:rPr>
              <w:t>2</w:t>
            </w:r>
            <w:r w:rsidRPr="0058731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pct"/>
            <w:gridSpan w:val="3"/>
            <w:vAlign w:val="center"/>
          </w:tcPr>
          <w:p w:rsidR="00D91321" w:rsidRPr="0058731B" w:rsidRDefault="00D91321" w:rsidP="0058731B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58731B">
              <w:rPr>
                <w:rFonts w:cs="Times New Roman"/>
                <w:sz w:val="20"/>
                <w:szCs w:val="20"/>
              </w:rPr>
              <w:t>Оценка за 202</w:t>
            </w:r>
            <w:r w:rsidR="0058731B" w:rsidRPr="0058731B">
              <w:rPr>
                <w:rFonts w:cs="Times New Roman"/>
                <w:sz w:val="20"/>
                <w:szCs w:val="20"/>
              </w:rPr>
              <w:t>1</w:t>
            </w:r>
            <w:r w:rsidRPr="0058731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7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1321" w:rsidRPr="00F56197" w:rsidRDefault="00D91321" w:rsidP="00D91321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56197">
              <w:rPr>
                <w:rFonts w:cs="Times New Roman"/>
                <w:sz w:val="20"/>
                <w:szCs w:val="20"/>
              </w:rPr>
              <w:t>Измене</w:t>
            </w:r>
            <w:r w:rsidRPr="00F56197">
              <w:rPr>
                <w:rFonts w:cs="Times New Roman"/>
                <w:sz w:val="20"/>
                <w:szCs w:val="20"/>
              </w:rPr>
              <w:softHyphen/>
              <w:t>ние итоговой оценки</w:t>
            </w:r>
          </w:p>
        </w:tc>
      </w:tr>
      <w:tr w:rsidR="0058731B" w:rsidRPr="0058731B" w:rsidTr="00D91321">
        <w:trPr>
          <w:trHeight w:val="526"/>
        </w:trPr>
        <w:tc>
          <w:tcPr>
            <w:tcW w:w="1684" w:type="pct"/>
            <w:vMerge/>
            <w:vAlign w:val="center"/>
          </w:tcPr>
          <w:p w:rsidR="00D91321" w:rsidRPr="0058731B" w:rsidRDefault="00D91321" w:rsidP="00D9132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4" w:type="pct"/>
            <w:vAlign w:val="center"/>
          </w:tcPr>
          <w:p w:rsidR="00D91321" w:rsidRPr="0058731B" w:rsidRDefault="00D91321" w:rsidP="00D91321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58731B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D91321" w:rsidRPr="0058731B" w:rsidRDefault="00D91321" w:rsidP="00D91321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58731B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91321" w:rsidRPr="0058731B" w:rsidRDefault="00D91321" w:rsidP="00D91321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58731B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4" w:type="pct"/>
            <w:vAlign w:val="center"/>
          </w:tcPr>
          <w:p w:rsidR="00D91321" w:rsidRPr="0058731B" w:rsidRDefault="00D91321" w:rsidP="00D91321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58731B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D91321" w:rsidRPr="0058731B" w:rsidRDefault="00D91321" w:rsidP="00D91321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58731B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vAlign w:val="center"/>
          </w:tcPr>
          <w:p w:rsidR="00D91321" w:rsidRPr="0058731B" w:rsidRDefault="00D91321" w:rsidP="00D91321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58731B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2" w:type="pct"/>
            <w:vMerge/>
            <w:shd w:val="clear" w:color="auto" w:fill="auto"/>
          </w:tcPr>
          <w:p w:rsidR="00D91321" w:rsidRPr="0058731B" w:rsidRDefault="00D91321" w:rsidP="00D91321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</w:p>
        </w:tc>
      </w:tr>
      <w:tr w:rsidR="00F56197" w:rsidRPr="005A1A9C" w:rsidTr="005A1A9C">
        <w:trPr>
          <w:trHeight w:val="259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Ревизионная комиссия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24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  <w:tr w:rsidR="00F56197" w:rsidRPr="005A1A9C" w:rsidTr="005A1A9C">
        <w:trPr>
          <w:trHeight w:val="234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Комитет финансов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24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  <w:tr w:rsidR="00F56197" w:rsidRPr="005A1A9C" w:rsidTr="005A1A9C">
        <w:trPr>
          <w:trHeight w:val="255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МУДО "СППЦ"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5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21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  <w:tr w:rsidR="00F56197" w:rsidRPr="005A1A9C" w:rsidTr="00D91321">
        <w:trPr>
          <w:trHeight w:val="510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D91321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Совет депутатов Сланцевского муниципального района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58731B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25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A929E7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5A1A9C">
        <w:trPr>
          <w:trHeight w:val="259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ind w:right="-108"/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МДОУ "Сланцевский детский сад №4"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24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=</w:t>
            </w:r>
          </w:p>
        </w:tc>
      </w:tr>
      <w:tr w:rsidR="00F56197" w:rsidRPr="005A1A9C" w:rsidTr="005A1A9C">
        <w:trPr>
          <w:trHeight w:val="259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ind w:right="-108"/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 xml:space="preserve">МОУ "Овсищенская </w:t>
            </w:r>
            <w:proofErr w:type="gramStart"/>
            <w:r w:rsidRPr="005A1A9C">
              <w:rPr>
                <w:sz w:val="20"/>
                <w:szCs w:val="20"/>
              </w:rPr>
              <w:t>начальная</w:t>
            </w:r>
            <w:proofErr w:type="gramEnd"/>
            <w:r w:rsidRPr="005A1A9C">
              <w:rPr>
                <w:sz w:val="20"/>
                <w:szCs w:val="20"/>
              </w:rPr>
              <w:t xml:space="preserve"> школа-детский сад"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  <w:tr w:rsidR="00F56197" w:rsidRPr="005A1A9C" w:rsidTr="005A1A9C">
        <w:trPr>
          <w:trHeight w:val="254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Администрация Сланцевского муниципального района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6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20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  <w:tr w:rsidR="00F56197" w:rsidRPr="005A1A9C" w:rsidTr="00D91321">
        <w:trPr>
          <w:trHeight w:val="255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D91321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МДОУ "Гостицкий детский сад № 20"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24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5A1A9C">
        <w:trPr>
          <w:trHeight w:val="259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МДОУ "Сланцевский детский сад № 3"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22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5A1A9C">
        <w:trPr>
          <w:trHeight w:val="259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МОУ "Загривская СОШ"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23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5A1A9C">
        <w:trPr>
          <w:trHeight w:val="206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МДОУ "Сланцевский детский сад № 2"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6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20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  <w:tr w:rsidR="00F56197" w:rsidRPr="005A1A9C" w:rsidTr="005A1A9C">
        <w:trPr>
          <w:trHeight w:val="255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КУМИ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58731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58731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8731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5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21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=</w:t>
            </w:r>
          </w:p>
        </w:tc>
      </w:tr>
      <w:tr w:rsidR="00F56197" w:rsidRPr="005A1A9C" w:rsidTr="005A1A9C">
        <w:trPr>
          <w:trHeight w:val="242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5A1A9C" w:rsidRDefault="00F56197" w:rsidP="005A1A9C">
            <w:pPr>
              <w:rPr>
                <w:sz w:val="20"/>
                <w:szCs w:val="20"/>
              </w:rPr>
            </w:pPr>
            <w:r w:rsidRPr="005A1A9C">
              <w:rPr>
                <w:sz w:val="20"/>
                <w:szCs w:val="20"/>
              </w:rPr>
              <w:t>МДОУ "Сланцевский детский сад № 5"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685B8C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685B8C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685B8C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685B8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8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A1A9C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17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  <w:tr w:rsidR="00F56197" w:rsidRPr="005A1A9C" w:rsidTr="008357D3">
        <w:trPr>
          <w:trHeight w:val="242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8357D3">
            <w:pPr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МКУ "ФОК "СМР"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CB521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CB521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CB521E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*</w:t>
            </w:r>
          </w:p>
        </w:tc>
      </w:tr>
      <w:tr w:rsidR="00F56197" w:rsidRPr="005A1A9C" w:rsidTr="008357D3">
        <w:trPr>
          <w:trHeight w:val="254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8357D3">
            <w:pPr>
              <w:ind w:right="-216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МДОУ "Сланцевский детский сад №10"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CB521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CB521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CB521E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CB521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22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8357D3">
        <w:trPr>
          <w:trHeight w:val="242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8357D3">
            <w:pPr>
              <w:ind w:right="-74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МДОУ "Сланцевский детски</w:t>
            </w:r>
            <w:r w:rsidRPr="00F56197">
              <w:rPr>
                <w:sz w:val="20"/>
                <w:szCs w:val="20"/>
              </w:rPr>
              <w:t>й сад №</w:t>
            </w:r>
            <w:r w:rsidRPr="00F56197">
              <w:rPr>
                <w:sz w:val="4"/>
                <w:szCs w:val="4"/>
              </w:rPr>
              <w:t xml:space="preserve"> </w:t>
            </w:r>
            <w:r w:rsidRPr="00F56197">
              <w:rPr>
                <w:sz w:val="20"/>
                <w:szCs w:val="20"/>
              </w:rPr>
              <w:t>15</w:t>
            </w:r>
            <w:r w:rsidRPr="00F56197">
              <w:rPr>
                <w:sz w:val="20"/>
                <w:szCs w:val="20"/>
              </w:rPr>
              <w:t>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7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F56197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  <w:tr w:rsidR="00F56197" w:rsidRPr="005A1A9C" w:rsidTr="00D91321">
        <w:trPr>
          <w:trHeight w:val="255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D91321">
            <w:pPr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МОУ "Новосельская ООШ"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24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8357D3">
        <w:trPr>
          <w:trHeight w:val="255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8357D3">
            <w:pPr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МОУ "Старопольская СОШ"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22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8357D3">
        <w:trPr>
          <w:trHeight w:val="255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8357D3">
            <w:pPr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МУ "РВС"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22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8357D3">
        <w:trPr>
          <w:trHeight w:val="259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8357D3">
            <w:pPr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Комитет образования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2E580E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2E580E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2E580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5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8357D3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21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D91321">
        <w:trPr>
          <w:trHeight w:val="259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D91321">
            <w:pPr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МКУК "СМЦРБ"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1728C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pct"/>
            <w:vAlign w:val="bottom"/>
          </w:tcPr>
          <w:p w:rsidR="00F56197" w:rsidRPr="001728C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1728C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24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D91321">
        <w:trPr>
          <w:trHeight w:val="238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D91321">
            <w:pPr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МОУ "Выскатская ООШ"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1728C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74" w:type="pct"/>
            <w:vAlign w:val="bottom"/>
          </w:tcPr>
          <w:p w:rsidR="00F56197" w:rsidRPr="001728C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F56197" w:rsidRPr="001728C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7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F56197" w:rsidRPr="00F56197" w:rsidRDefault="00F56197" w:rsidP="0058731B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  <w:tr w:rsidR="00F56197" w:rsidRPr="005A1A9C" w:rsidTr="00F56197">
        <w:trPr>
          <w:trHeight w:val="238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6197" w:rsidRPr="00F56197" w:rsidRDefault="00F56197" w:rsidP="008357D3">
            <w:pPr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МДОУ "Сланцевский детский сад № 7"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197" w:rsidRPr="001728C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197" w:rsidRPr="001728CB" w:rsidRDefault="00F56197" w:rsidP="008357D3">
            <w:pPr>
              <w:jc w:val="center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197" w:rsidRPr="001728CB" w:rsidRDefault="00F56197" w:rsidP="008357D3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1728CB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II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97" w:rsidRPr="00F56197" w:rsidRDefault="00F56197" w:rsidP="008357D3">
            <w:pPr>
              <w:ind w:right="284"/>
              <w:jc w:val="right"/>
              <w:rPr>
                <w:sz w:val="20"/>
                <w:szCs w:val="20"/>
              </w:rPr>
            </w:pPr>
            <w:r w:rsidRPr="00F56197">
              <w:rPr>
                <w:sz w:val="20"/>
                <w:szCs w:val="20"/>
              </w:rPr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197" w:rsidRPr="00F56197" w:rsidRDefault="00F56197" w:rsidP="008357D3">
            <w:pPr>
              <w:jc w:val="center"/>
              <w:rPr>
                <w:sz w:val="20"/>
                <w:szCs w:val="20"/>
              </w:rPr>
            </w:pPr>
            <w:r w:rsidRPr="00F561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</w:tbl>
    <w:p w:rsidR="00241BF4" w:rsidRPr="0058731B" w:rsidRDefault="005A1A9C" w:rsidP="00F56197">
      <w:pPr>
        <w:widowControl/>
        <w:suppressAutoHyphens w:val="0"/>
        <w:ind w:firstLine="709"/>
        <w:jc w:val="both"/>
        <w:rPr>
          <w:rFonts w:eastAsiaTheme="minorHAnsi" w:cs="Times New Roman"/>
          <w:color w:val="00B050"/>
          <w:kern w:val="0"/>
          <w:szCs w:val="28"/>
          <w:lang w:eastAsia="en-US" w:bidi="ar-SA"/>
        </w:rPr>
      </w:pPr>
      <w:r w:rsidRPr="004E35EE">
        <w:rPr>
          <w:rFonts w:eastAsiaTheme="minorHAnsi" w:cs="Times New Roman"/>
          <w:kern w:val="0"/>
          <w:szCs w:val="28"/>
          <w:lang w:eastAsia="en-US" w:bidi="ar-SA"/>
        </w:rPr>
        <w:t>* - согласно пункту 3 Порядка оценка за 20</w:t>
      </w:r>
      <w:r>
        <w:rPr>
          <w:rFonts w:eastAsiaTheme="minorHAnsi" w:cs="Times New Roman"/>
          <w:kern w:val="0"/>
          <w:szCs w:val="28"/>
          <w:lang w:eastAsia="en-US" w:bidi="ar-SA"/>
        </w:rPr>
        <w:t>2</w:t>
      </w:r>
      <w:r w:rsidRPr="004E35EE">
        <w:rPr>
          <w:rFonts w:eastAsiaTheme="minorHAnsi" w:cs="Times New Roman"/>
          <w:kern w:val="0"/>
          <w:szCs w:val="28"/>
          <w:lang w:eastAsia="en-US" w:bidi="ar-SA"/>
        </w:rPr>
        <w:t>1 год не производилась в отношении ГРБС, котор</w:t>
      </w:r>
      <w:r>
        <w:rPr>
          <w:rFonts w:eastAsiaTheme="minorHAnsi" w:cs="Times New Roman"/>
          <w:kern w:val="0"/>
          <w:szCs w:val="28"/>
          <w:lang w:eastAsia="en-US" w:bidi="ar-SA"/>
        </w:rPr>
        <w:t>ое было создано</w:t>
      </w:r>
      <w:r w:rsidRPr="004E35EE">
        <w:rPr>
          <w:rFonts w:eastAsiaTheme="minorHAnsi" w:cs="Times New Roman"/>
          <w:kern w:val="0"/>
          <w:szCs w:val="28"/>
          <w:lang w:eastAsia="en-US" w:bidi="ar-SA"/>
        </w:rPr>
        <w:t xml:space="preserve"> в 20</w:t>
      </w:r>
      <w:r>
        <w:rPr>
          <w:rFonts w:eastAsiaTheme="minorHAnsi" w:cs="Times New Roman"/>
          <w:kern w:val="0"/>
          <w:szCs w:val="28"/>
          <w:lang w:eastAsia="en-US" w:bidi="ar-SA"/>
        </w:rPr>
        <w:t>2</w:t>
      </w:r>
      <w:r w:rsidRPr="004E35EE">
        <w:rPr>
          <w:rFonts w:eastAsiaTheme="minorHAnsi" w:cs="Times New Roman"/>
          <w:kern w:val="0"/>
          <w:szCs w:val="28"/>
          <w:lang w:eastAsia="en-US" w:bidi="ar-SA"/>
        </w:rPr>
        <w:t>1 году.</w:t>
      </w:r>
      <w:bookmarkStart w:id="0" w:name="_GoBack"/>
      <w:bookmarkEnd w:id="0"/>
    </w:p>
    <w:sectPr w:rsidR="00241BF4" w:rsidRPr="0058731B" w:rsidSect="00F56197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B7"/>
    <w:rsid w:val="000D4760"/>
    <w:rsid w:val="00143B51"/>
    <w:rsid w:val="001728CB"/>
    <w:rsid w:val="001B3A64"/>
    <w:rsid w:val="00241AE0"/>
    <w:rsid w:val="00241BF4"/>
    <w:rsid w:val="002476CA"/>
    <w:rsid w:val="00262836"/>
    <w:rsid w:val="002A0E6B"/>
    <w:rsid w:val="002A3549"/>
    <w:rsid w:val="002D471A"/>
    <w:rsid w:val="002E580E"/>
    <w:rsid w:val="003D6B7B"/>
    <w:rsid w:val="00427033"/>
    <w:rsid w:val="004E35EE"/>
    <w:rsid w:val="004F32E9"/>
    <w:rsid w:val="0053324E"/>
    <w:rsid w:val="0058731B"/>
    <w:rsid w:val="005A1A9C"/>
    <w:rsid w:val="005C1D52"/>
    <w:rsid w:val="006630E9"/>
    <w:rsid w:val="00665092"/>
    <w:rsid w:val="00667035"/>
    <w:rsid w:val="00672BBF"/>
    <w:rsid w:val="00685B8C"/>
    <w:rsid w:val="006C2028"/>
    <w:rsid w:val="006E395C"/>
    <w:rsid w:val="00700698"/>
    <w:rsid w:val="007376DD"/>
    <w:rsid w:val="00766339"/>
    <w:rsid w:val="00776A5C"/>
    <w:rsid w:val="007D6370"/>
    <w:rsid w:val="007E2A38"/>
    <w:rsid w:val="007E2F70"/>
    <w:rsid w:val="008172A6"/>
    <w:rsid w:val="0085091F"/>
    <w:rsid w:val="008D22E4"/>
    <w:rsid w:val="00987513"/>
    <w:rsid w:val="009A1B34"/>
    <w:rsid w:val="00A21676"/>
    <w:rsid w:val="00A81227"/>
    <w:rsid w:val="00A929E7"/>
    <w:rsid w:val="00AB79CE"/>
    <w:rsid w:val="00AF0F24"/>
    <w:rsid w:val="00B16A73"/>
    <w:rsid w:val="00BB559D"/>
    <w:rsid w:val="00C60846"/>
    <w:rsid w:val="00C86861"/>
    <w:rsid w:val="00CB521E"/>
    <w:rsid w:val="00D03EE9"/>
    <w:rsid w:val="00D320E8"/>
    <w:rsid w:val="00D35510"/>
    <w:rsid w:val="00D838AF"/>
    <w:rsid w:val="00D91321"/>
    <w:rsid w:val="00DB436A"/>
    <w:rsid w:val="00E448BB"/>
    <w:rsid w:val="00E56CFB"/>
    <w:rsid w:val="00E57613"/>
    <w:rsid w:val="00F065B7"/>
    <w:rsid w:val="00F56197"/>
    <w:rsid w:val="00F6581F"/>
    <w:rsid w:val="00FA1718"/>
    <w:rsid w:val="00FF2290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B708-244D-4348-98A9-53544C23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 Екатерина В.</dc:creator>
  <cp:lastModifiedBy>Бакашова Екатерина В.</cp:lastModifiedBy>
  <cp:revision>26</cp:revision>
  <cp:lastPrinted>2021-03-04T08:34:00Z</cp:lastPrinted>
  <dcterms:created xsi:type="dcterms:W3CDTF">2019-03-13T05:44:00Z</dcterms:created>
  <dcterms:modified xsi:type="dcterms:W3CDTF">2023-02-28T12:15:00Z</dcterms:modified>
</cp:coreProperties>
</file>