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4C" w:rsidRPr="000B379F" w:rsidRDefault="00F47B4C" w:rsidP="00F47B4C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r w:rsidRPr="000B379F">
        <w:rPr>
          <w:rFonts w:cs="Times New Roman"/>
          <w:sz w:val="28"/>
          <w:szCs w:val="28"/>
        </w:rPr>
        <w:t xml:space="preserve">Рейтинг 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муниципального образования Сланцевское городское поселение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Сланцевский муниципальный район Ленинградской области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0B379F">
        <w:rPr>
          <w:rFonts w:cs="Times New Roman"/>
          <w:sz w:val="28"/>
          <w:szCs w:val="28"/>
        </w:rPr>
        <w:t>зультатам оценки качества финансового менеджмента ГРБС</w:t>
      </w:r>
      <w:r w:rsidRPr="000B379F">
        <w:rPr>
          <w:rFonts w:cs="Times New Roman"/>
          <w:sz w:val="28"/>
          <w:szCs w:val="28"/>
        </w:rPr>
        <w:br/>
        <w:t>за 202</w:t>
      </w:r>
      <w:r w:rsidR="000B379F" w:rsidRPr="000B379F">
        <w:rPr>
          <w:rFonts w:cs="Times New Roman"/>
          <w:sz w:val="28"/>
          <w:szCs w:val="28"/>
        </w:rPr>
        <w:t>2</w:t>
      </w:r>
      <w:r w:rsidRPr="000B379F">
        <w:rPr>
          <w:rFonts w:cs="Times New Roman"/>
          <w:sz w:val="28"/>
          <w:szCs w:val="28"/>
        </w:rPr>
        <w:t xml:space="preserve"> год</w:t>
      </w:r>
    </w:p>
    <w:p w:rsidR="00F065B7" w:rsidRPr="000B379F" w:rsidRDefault="00F065B7" w:rsidP="00F065B7">
      <w:pPr>
        <w:tabs>
          <w:tab w:val="left" w:pos="993"/>
        </w:tabs>
        <w:jc w:val="both"/>
        <w:rPr>
          <w:rFonts w:cs="Times New Roman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188"/>
        <w:gridCol w:w="1188"/>
        <w:gridCol w:w="1188"/>
        <w:gridCol w:w="1125"/>
        <w:gridCol w:w="1125"/>
        <w:gridCol w:w="1125"/>
        <w:gridCol w:w="1105"/>
      </w:tblGrid>
      <w:tr w:rsidR="000B379F" w:rsidRPr="000B379F" w:rsidTr="00630472">
        <w:tc>
          <w:tcPr>
            <w:tcW w:w="1140" w:type="pct"/>
            <w:vMerge w:val="restart"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2150" w:type="pct"/>
            <w:gridSpan w:val="4"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0B379F" w:rsidRPr="000B379F" w:rsidTr="00BB559D">
        <w:trPr>
          <w:cantSplit/>
          <w:trHeight w:val="2974"/>
        </w:trPr>
        <w:tc>
          <w:tcPr>
            <w:tcW w:w="1140" w:type="pct"/>
            <w:vMerge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F065B7" w:rsidRPr="000B379F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0B379F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0B379F" w:rsidRPr="000B379F" w:rsidTr="000B379F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379F" w:rsidRPr="000B379F" w:rsidRDefault="000B379F" w:rsidP="000B379F">
            <w:pPr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Администрация Сланцевского муниципального района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B37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II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jc w:val="center"/>
              <w:rPr>
                <w:sz w:val="21"/>
                <w:szCs w:val="21"/>
              </w:rPr>
            </w:pPr>
            <w:r w:rsidRPr="000B379F">
              <w:rPr>
                <w:sz w:val="21"/>
                <w:szCs w:val="21"/>
              </w:rPr>
              <w:t>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21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4</w:t>
            </w:r>
          </w:p>
        </w:tc>
      </w:tr>
      <w:tr w:rsidR="000B379F" w:rsidRPr="000B379F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379F" w:rsidRPr="000B379F" w:rsidRDefault="000B379F">
            <w:pPr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Совет депутатов Сланцевского городского поселения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B37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II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>
            <w:pPr>
              <w:jc w:val="center"/>
              <w:rPr>
                <w:sz w:val="21"/>
                <w:szCs w:val="21"/>
              </w:rPr>
            </w:pPr>
            <w:r w:rsidRPr="000B379F">
              <w:rPr>
                <w:sz w:val="21"/>
                <w:szCs w:val="21"/>
              </w:rPr>
              <w:t>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18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6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10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0</w:t>
            </w:r>
          </w:p>
        </w:tc>
      </w:tr>
      <w:tr w:rsidR="000B379F" w:rsidRPr="000B379F" w:rsidTr="000B379F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379F" w:rsidRPr="000B379F" w:rsidRDefault="000B379F" w:rsidP="000B379F">
            <w:pPr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КУМИ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B37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II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jc w:val="center"/>
              <w:rPr>
                <w:sz w:val="21"/>
                <w:szCs w:val="21"/>
              </w:rPr>
            </w:pPr>
            <w:r w:rsidRPr="000B379F">
              <w:rPr>
                <w:sz w:val="21"/>
                <w:szCs w:val="21"/>
              </w:rPr>
              <w:t>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18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0B379F" w:rsidRPr="000B379F" w:rsidRDefault="000B379F" w:rsidP="000B379F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4</w:t>
            </w:r>
          </w:p>
        </w:tc>
      </w:tr>
      <w:tr w:rsidR="000B379F" w:rsidRPr="000B379F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379F" w:rsidRPr="000B379F" w:rsidRDefault="000B379F">
            <w:pPr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МКУК "КДЦ"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0B379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B37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III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>
            <w:pPr>
              <w:jc w:val="center"/>
              <w:rPr>
                <w:sz w:val="21"/>
                <w:szCs w:val="21"/>
              </w:rPr>
            </w:pPr>
            <w:r w:rsidRPr="000B379F">
              <w:rPr>
                <w:sz w:val="21"/>
                <w:szCs w:val="21"/>
              </w:rPr>
              <w:t>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17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0B379F" w:rsidRPr="000B379F" w:rsidRDefault="000B379F" w:rsidP="008A2939">
            <w:pPr>
              <w:ind w:right="284"/>
              <w:jc w:val="right"/>
              <w:rPr>
                <w:sz w:val="20"/>
                <w:szCs w:val="20"/>
              </w:rPr>
            </w:pPr>
            <w:r w:rsidRPr="000B379F">
              <w:rPr>
                <w:sz w:val="20"/>
                <w:szCs w:val="20"/>
              </w:rPr>
              <w:t>4</w:t>
            </w:r>
          </w:p>
        </w:tc>
      </w:tr>
    </w:tbl>
    <w:p w:rsidR="005347A9" w:rsidRPr="000B379F" w:rsidRDefault="005347A9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30472" w:rsidRPr="000B379F" w:rsidRDefault="0063047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0B379F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Пояснительная записка к результатам </w:t>
      </w:r>
      <w:proofErr w:type="gramStart"/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качества финансового менеджмента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proofErr w:type="gramEnd"/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30472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Сланцевское городское поселение Сланцевского муниципального района 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Ленинградской области</w:t>
      </w:r>
      <w:r w:rsidR="00630472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5347A9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за 202</w:t>
      </w:r>
      <w:r w:rsidR="000B379F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0B379F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838AF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Порядком проведения оценки качества финансового менеджмента главных распорядителей средств бюджета муниципального образования Сланцевский муниципальный район Ленинградской области и бюджета муниципального образования Сланцевское городское поселение Сланцевского муниципального района Ленинградской области, утвержденным постановлением администрации Сланцевского муниципальног</w:t>
      </w:r>
      <w:r w:rsidR="005347A9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о района от 22.02.2019 № 207-п</w:t>
      </w:r>
      <w:r w:rsidR="000F1CA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(с изменениями, внесенными постановлением от 21.07.2020 № 950-п)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0F1CA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комитетом финансов администрации муниципального образования Сланцевский муниципальный район Ленинградской области 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проведена оценка</w:t>
      </w:r>
      <w:proofErr w:type="gramEnd"/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качества финансового </w:t>
      </w:r>
      <w:proofErr w:type="gramStart"/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менеджмента главных распорядителей средств бюджета муниципального образования</w:t>
      </w:r>
      <w:proofErr w:type="gramEnd"/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30472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Сланцевское городское поселение Сланцевского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муниципальн</w:t>
      </w:r>
      <w:r w:rsidR="00630472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ого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район</w:t>
      </w:r>
      <w:r w:rsidR="00630472"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Ленинградской области (далее – ГРБС)</w:t>
      </w:r>
      <w:r w:rsidR="000F1CA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2022 год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 рейтинг ГРБС по качеству финансового менеджмента.</w:t>
      </w:r>
    </w:p>
    <w:p w:rsidR="000B379F" w:rsidRPr="000B379F" w:rsidRDefault="000B379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Согласно пункту 3 Порядка оценка не производилась в отношении муниципального казенного учреждения культуры «Городской Дом культуры», которое было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реорганизовано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202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Pr="000B379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году.</w:t>
      </w:r>
    </w:p>
    <w:p w:rsidR="00D838AF" w:rsidRPr="005F30F0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период», «Доля изменений, внесенных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</w:t>
      </w:r>
      <w:proofErr w:type="gramEnd"/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юридических лиц, имеющих целевое назначение, распределением средств резервного фонда администрации)» и «Отклонение первоначального плана по расходам от уточненного плана (без учета расходов за счет межбюджетных трансфертов, безвозмездных поступлений от физических и юридических лиц, имеющих целевое назначение, средств резервного фонда администрации)». По направлению оценки «Планирование бюджета» 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 </w:t>
      </w:r>
      <w:r w:rsidR="00427D0D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одному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</w:t>
      </w:r>
      <w:r w:rsidR="00120E8A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не 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присвоено максимально возможно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значени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7 баллов, 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одному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6 баллов, 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остальным ГРБС присвоено от 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до 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5F30F0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 году», «Изменение дебиторской задолженности ГРБС в отчетном периоде по сравнению с началом года» и «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Доля возвращенных комитетом финансов заявок на оплату расходов ГРБС при осуществлении</w:t>
      </w:r>
      <w:proofErr w:type="gramEnd"/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процедуры санкционирования расходов за счет средств бюджета</w:t>
      </w:r>
      <w:r w:rsidR="006630E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направлению оценки «Исполнение бюджета» ни одному ГРБС не присвоено максимально возможное значение 13 баллов, 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одному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ГРБС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присвоено 1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0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986E52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трем 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ГРБС присвоено 9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6630E9" w:rsidRPr="005F30F0" w:rsidRDefault="006630E9" w:rsidP="006630E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отчетном году ГРБС бюджетной (бухгалтерской) отчетности», «Соблюдение ГРБС требований по составу годовой бюджетной отчетности» и «Наличие в годовой бюджетной отчетности ГРБС за отчетный год заполненной таблицы «Сведения о проведении инвентаризации». По направлению оценки «Ведение учета и формирование отчетности» 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двум</w:t>
      </w:r>
      <w:r w:rsidR="00CF29AC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максималь</w:t>
      </w:r>
      <w:r w:rsidR="005347A9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но возможное значение 3 балла, дву</w:t>
      </w:r>
      <w:r w:rsidR="00CF29AC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м</w:t>
      </w:r>
      <w:r w:rsidR="00E56CFB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2 балла</w:t>
      </w:r>
      <w:r w:rsidR="00CF29AC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5347A9" w:rsidRPr="00FF15BB" w:rsidRDefault="005347A9" w:rsidP="005347A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«Осуществление внутреннего финансового контроля и аудита» оценка произведена по показателям «Наличие в 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контроля» и «Проверка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proofErr w:type="gramEnd"/>
      <w:r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». По направлению оценки «Осуществление внутреннего финансового контроля и аудита» </w:t>
      </w:r>
      <w:r w:rsidR="005F30F0"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>трем</w:t>
      </w:r>
      <w:r w:rsidRPr="005F30F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максимально возможное 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значение 4 балла</w:t>
      </w:r>
      <w:r w:rsidR="005F30F0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, одному ГРБС присвоено 0 баллов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FF15BB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</w:t>
      </w:r>
      <w:r w:rsidR="005347A9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ансового менеджмента ГРБС за 202</w:t>
      </w:r>
      <w:r w:rsidR="005F30F0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="005347A9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трем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присвоена </w:t>
      </w:r>
      <w:r w:rsidRPr="00FF15BB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</w:t>
      </w:r>
      <w:r w:rsidR="005F30F0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одному ГРБС присвоена </w:t>
      </w:r>
      <w:r w:rsidR="005F30F0" w:rsidRPr="00FF15BB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III</w:t>
      </w:r>
      <w:r w:rsidR="005F30F0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CF29AC" w:rsidRPr="00FF15BB" w:rsidRDefault="00CF29AC" w:rsidP="00CF29AC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В сравнении с результатами оценки качества фина</w:t>
      </w:r>
      <w:r w:rsidR="00133A3C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нсового менеджмента ГРБС за 202</w:t>
      </w:r>
      <w:r w:rsidR="00FF15BB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8812D5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</w:t>
      </w:r>
      <w:r w:rsidR="00FF15BB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всем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</w:t>
      </w:r>
      <w:r w:rsidR="008812D5"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РБС </w:t>
      </w:r>
      <w:r w:rsidRPr="00FF15BB">
        <w:rPr>
          <w:rFonts w:eastAsiaTheme="minorHAnsi" w:cs="Times New Roman"/>
          <w:kern w:val="0"/>
          <w:sz w:val="28"/>
          <w:szCs w:val="28"/>
          <w:lang w:eastAsia="en-US" w:bidi="ar-SA"/>
        </w:rPr>
        <w:t>произошло снижение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4100DC" w:rsidRPr="00FF15BB" w:rsidTr="000B379F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4100DC" w:rsidRPr="00FF15BB" w:rsidRDefault="004100DC" w:rsidP="000B379F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4100DC" w:rsidRPr="00FF15BB" w:rsidRDefault="004100DC" w:rsidP="00FF15BB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Оценка за 2022 год</w:t>
            </w:r>
          </w:p>
        </w:tc>
        <w:tc>
          <w:tcPr>
            <w:tcW w:w="1422" w:type="pct"/>
            <w:gridSpan w:val="3"/>
            <w:vAlign w:val="center"/>
          </w:tcPr>
          <w:p w:rsidR="004100DC" w:rsidRPr="00FF15BB" w:rsidRDefault="004100DC" w:rsidP="00D1072C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Оценка за 2021 год</w:t>
            </w:r>
          </w:p>
        </w:tc>
        <w:tc>
          <w:tcPr>
            <w:tcW w:w="4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100DC" w:rsidRPr="004100DC" w:rsidRDefault="004100DC" w:rsidP="008357D3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100DC">
              <w:rPr>
                <w:rFonts w:cs="Times New Roman"/>
                <w:sz w:val="20"/>
                <w:szCs w:val="20"/>
              </w:rPr>
              <w:t>Измене</w:t>
            </w:r>
            <w:r w:rsidRPr="004100DC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FF15BB" w:rsidRPr="00FF15BB" w:rsidTr="000B379F">
        <w:trPr>
          <w:trHeight w:val="526"/>
        </w:trPr>
        <w:tc>
          <w:tcPr>
            <w:tcW w:w="1684" w:type="pct"/>
            <w:vMerge/>
            <w:vAlign w:val="center"/>
          </w:tcPr>
          <w:p w:rsidR="00FF15BB" w:rsidRPr="00FF15BB" w:rsidRDefault="00FF15BB" w:rsidP="000B379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FF15BB" w:rsidRPr="00FF15BB" w:rsidRDefault="00FF15BB" w:rsidP="00D1072C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FF15BB" w:rsidRPr="00FF15BB" w:rsidRDefault="00FF15BB" w:rsidP="00D1072C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FF15BB" w:rsidRPr="00FF15BB" w:rsidRDefault="00FF15BB" w:rsidP="00D1072C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FF15BB" w:rsidRPr="00FF15BB" w:rsidRDefault="00FF15BB" w:rsidP="00D1072C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FF15BB" w:rsidRPr="00FF15BB" w:rsidRDefault="00FF15BB" w:rsidP="000B379F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FF15BB" w:rsidRPr="00FF15BB" w:rsidRDefault="00FF15BB" w:rsidP="000B379F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F15BB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</w:tcPr>
          <w:p w:rsidR="00FF15BB" w:rsidRPr="00FF15BB" w:rsidRDefault="00FF15BB" w:rsidP="000B379F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15BB" w:rsidRPr="00FF15BB" w:rsidTr="00D1072C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5BB" w:rsidRPr="00FF15BB" w:rsidRDefault="00FF15BB" w:rsidP="00D1072C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Администрация Сланцевского муниципального района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21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F15BB" w:rsidRPr="00FF15BB" w:rsidRDefault="00FF15BB" w:rsidP="00D1072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F15BB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F15BB" w:rsidRPr="00FF15BB" w:rsidTr="00133A3C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5BB" w:rsidRPr="00FF15BB" w:rsidRDefault="00FF15BB" w:rsidP="00133A3C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Совет депутатов Сланцевского городского поселения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18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0B379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0B379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23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F15BB" w:rsidRPr="00FF15BB" w:rsidRDefault="00FF15BB" w:rsidP="00D1072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F15BB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F15BB" w:rsidRPr="00FF15BB" w:rsidTr="00D1072C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5BB" w:rsidRPr="00FF15BB" w:rsidRDefault="00FF15BB" w:rsidP="00D1072C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КУМИ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18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F15BB" w:rsidRPr="00FF15BB" w:rsidRDefault="00FF15BB" w:rsidP="00D1072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F15BB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F15BB" w:rsidRPr="00FF15BB" w:rsidTr="00133A3C">
        <w:trPr>
          <w:trHeight w:val="284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5BB" w:rsidRPr="00FF15BB" w:rsidRDefault="00FF15BB" w:rsidP="00133A3C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МКУК "КДЦ"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II</w:t>
            </w:r>
            <w:r w:rsidRPr="00FF15B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17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D1072C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0B379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vAlign w:val="bottom"/>
          </w:tcPr>
          <w:p w:rsidR="00FF15BB" w:rsidRPr="00FF15BB" w:rsidRDefault="00FF15BB" w:rsidP="000B379F">
            <w:pPr>
              <w:jc w:val="center"/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F15BB" w:rsidRPr="00FF15BB" w:rsidRDefault="00FF15BB" w:rsidP="00D1072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F15BB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</w:tbl>
    <w:p w:rsidR="00F065B7" w:rsidRPr="00FF15BB" w:rsidRDefault="00F065B7" w:rsidP="00FB6C66">
      <w:pPr>
        <w:tabs>
          <w:tab w:val="left" w:pos="993"/>
        </w:tabs>
        <w:ind w:firstLine="709"/>
        <w:jc w:val="both"/>
      </w:pPr>
      <w:bookmarkStart w:id="0" w:name="_GoBack"/>
      <w:bookmarkEnd w:id="0"/>
    </w:p>
    <w:sectPr w:rsidR="00F065B7" w:rsidRPr="00FF15BB" w:rsidSect="00BB55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7"/>
    <w:rsid w:val="000B379F"/>
    <w:rsid w:val="000F1CA8"/>
    <w:rsid w:val="00120E8A"/>
    <w:rsid w:val="00133A3C"/>
    <w:rsid w:val="00145973"/>
    <w:rsid w:val="001B3A64"/>
    <w:rsid w:val="00370A60"/>
    <w:rsid w:val="004100DC"/>
    <w:rsid w:val="00427D0D"/>
    <w:rsid w:val="005347A9"/>
    <w:rsid w:val="005F30F0"/>
    <w:rsid w:val="00630472"/>
    <w:rsid w:val="006630E9"/>
    <w:rsid w:val="006C2028"/>
    <w:rsid w:val="007C6683"/>
    <w:rsid w:val="008812D5"/>
    <w:rsid w:val="008A2939"/>
    <w:rsid w:val="008D2215"/>
    <w:rsid w:val="00986E52"/>
    <w:rsid w:val="00A21676"/>
    <w:rsid w:val="00A827EC"/>
    <w:rsid w:val="00AF0F24"/>
    <w:rsid w:val="00BB559D"/>
    <w:rsid w:val="00BE659D"/>
    <w:rsid w:val="00CF29AC"/>
    <w:rsid w:val="00D320E8"/>
    <w:rsid w:val="00D838AF"/>
    <w:rsid w:val="00E56CFB"/>
    <w:rsid w:val="00E606B9"/>
    <w:rsid w:val="00E97604"/>
    <w:rsid w:val="00EA6197"/>
    <w:rsid w:val="00F065B7"/>
    <w:rsid w:val="00F47B4C"/>
    <w:rsid w:val="00FB6C66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Бакашова Екатерина В.</cp:lastModifiedBy>
  <cp:revision>17</cp:revision>
  <cp:lastPrinted>2021-03-03T07:23:00Z</cp:lastPrinted>
  <dcterms:created xsi:type="dcterms:W3CDTF">2019-03-13T05:44:00Z</dcterms:created>
  <dcterms:modified xsi:type="dcterms:W3CDTF">2023-02-28T11:40:00Z</dcterms:modified>
</cp:coreProperties>
</file>