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keepNext/>
        <w:spacing w:before="28" w:beforeAutospacing="0" w:after="28" w:line="102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Комиссия по делам несовершеннолетних и защите их прав при администрации муниципального образования Сланцевский муниципальный район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center"/>
        <w:keepNext/>
        <w:spacing w:before="28" w:after="28" w:line="102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188560, Ленинградская область,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Сланцы, пер. Почтовый дом 2/8, тел. 2-42-09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keepNext/>
        <w:spacing w:before="28" w:after="240" w:line="102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28" w:after="28" w:line="102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О С Т А Н О В Л Е Н И Е   2/2024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42"/>
        <w:jc w:val="both"/>
        <w:keepNext/>
        <w:spacing w:before="28" w:after="28" w:line="102" w:lineRule="atLeas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ind w:left="-142"/>
        <w:keepNext/>
        <w:spacing w:before="28" w:after="28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2024 года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Сланцы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before="28" w:after="28" w:line="1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 час.00 мин.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 проведении этапа «КОНТИНГЕНТ» комплексной операции «ПОДРОСТОК»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 по делам несовершеннолетних и защите их прав присутствуют: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Щербакова М.А. - председатель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Новоселова С.Н. – начальник сектора по обеспечению деятельности КДН и ЗП, ответственный секретарь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Андреева Л.Б. – веду</w:t>
      </w:r>
      <w:r>
        <w:rPr>
          <w:rFonts w:ascii="Times New Roman" w:hAnsi="Times New Roman" w:cs="Times New Roman"/>
          <w:sz w:val="28"/>
          <w:szCs w:val="28"/>
        </w:rPr>
        <w:t xml:space="preserve">щий специалист сектора по обеспечению деятельности комиссии по делам несовершеннолетних  и защите их прав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Васильева Е.С. - </w:t>
      </w: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ГКУЛО «Ленинградская областная противопожарно-спасательная служба»,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Ветренко Р.</w:t>
      </w:r>
      <w:r>
        <w:rPr>
          <w:rFonts w:ascii="Times New Roman" w:hAnsi="Times New Roman" w:cs="Times New Roman"/>
          <w:sz w:val="28"/>
          <w:szCs w:val="28"/>
        </w:rPr>
        <w:t xml:space="preserve">Н.  – заместитель начальника ОМВД  России по Сланцевскому району,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Иванова И.В. – начальник отдела опеки и попечительства,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Иванова Ю.С. – начальник ПДН ОМВД России по Сланцевскому району,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Комарова Я.Ю. - </w:t>
      </w:r>
      <w:r>
        <w:rPr>
          <w:rFonts w:ascii="Times New Roman" w:hAnsi="Times New Roman" w:cs="Times New Roman"/>
          <w:sz w:val="28"/>
          <w:szCs w:val="28"/>
        </w:rPr>
        <w:t xml:space="preserve"> инспектор </w:t>
      </w:r>
      <w:r>
        <w:rPr>
          <w:rFonts w:ascii="Times New Roman" w:hAnsi="Times New Roman" w:cs="Times New Roman"/>
          <w:sz w:val="28"/>
          <w:szCs w:val="28"/>
        </w:rPr>
        <w:t xml:space="preserve">ОНДиПР Сланцевского района,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Лакшина Т.С. - </w:t>
      </w:r>
      <w:r>
        <w:rPr>
          <w:rFonts w:ascii="Times New Roman" w:hAnsi="Times New Roman" w:cs="Times New Roman"/>
          <w:sz w:val="28"/>
          <w:szCs w:val="28"/>
        </w:rPr>
        <w:t xml:space="preserve">начальник сектора  по  культуре, спорту и молодежной политике,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Нечаева С.А. – зам. главного врача ГБУЗ ЛО «СМБ» по ДиР,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Сидорова Н.В. - </w:t>
      </w:r>
      <w:r>
        <w:rPr>
          <w:rFonts w:ascii="Times New Roman" w:hAnsi="Times New Roman" w:cs="Times New Roman"/>
          <w:sz w:val="28"/>
          <w:szCs w:val="28"/>
        </w:rPr>
        <w:t xml:space="preserve">директор ЛОГКУ «Центр социальной за</w:t>
      </w:r>
      <w:r>
        <w:rPr>
          <w:rFonts w:ascii="Times New Roman" w:hAnsi="Times New Roman" w:cs="Times New Roman"/>
          <w:sz w:val="28"/>
          <w:szCs w:val="28"/>
        </w:rPr>
        <w:t xml:space="preserve">щиты населения» филиал в Сланцевском районе», член комиссии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Петрова Е.А. -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филиала по Сланцевскому району ЛО ФКУ УИИ по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Санкт – Петербургу и Ленинградской области,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Цветкова С.А.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директор ЛОГБУ «СЦРН «Мечта»», 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Федосова О.Б. - директор Сланцевского филиала ГКУ «ЦЗН ЛО», член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Горбач В. В. – помощник Сланцевского городского прокурора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Отсутствуют на заседании комиссии по делам несовершеннолетних и защите их прав: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Николаева О.Н. -  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зам. председателя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Шутова Е.Ю. - </w:t>
      </w:r>
      <w:r>
        <w:rPr>
          <w:rFonts w:ascii="Times New Roman" w:hAnsi="Times New Roman" w:cs="Times New Roman"/>
          <w:sz w:val="28"/>
          <w:szCs w:val="28"/>
        </w:rPr>
        <w:t xml:space="preserve">педагог – организатор МУДО «Сланцевский ДТ», муниципальный организатор  федерального проекта «Советник директора по воспитанию и взаимодействию с детскими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бщественными организациями»,  член комиссии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этапа «КОНТИНГЕНТ» комплексной операции «ПОДРОСТОК»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right="-17" w:firstLine="85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(Новоселова С.Н., начальник сектора по обеспечению деятельности КДН и ЗП)</w:t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contextualSpacing/>
        <w:ind w:right="-17" w:firstLine="8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right="-17" w:firstLine="8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</w:t>
      </w:r>
      <w:r>
        <w:rPr>
          <w:rFonts w:ascii="Times New Roman" w:hAnsi="Times New Roman" w:cs="Times New Roman"/>
          <w:sz w:val="28"/>
          <w:szCs w:val="28"/>
        </w:rPr>
        <w:t xml:space="preserve">оряжением    Губернатора     Ленинградской области от 21 апреля 2008 года № 228-рг  «О проведении  в  Ленинградской области ежегодной комплексной  профилактической операции «Подросток»», а также  распоряжением Губернатора ЛО  от 30 января 2019 года № 45 — </w:t>
      </w:r>
      <w:r>
        <w:rPr>
          <w:rFonts w:ascii="Times New Roman" w:hAnsi="Times New Roman" w:cs="Times New Roman"/>
          <w:sz w:val="28"/>
          <w:szCs w:val="28"/>
        </w:rPr>
        <w:t xml:space="preserve">рг «О внесении изменений в распоряжение Губернатора ЛО от 21 апреля 2008 года № 228-рг  «О проведении  в  Ленинградской области ежегодной комплексной  профилактической операции «Подросток»» и в</w:t>
      </w:r>
      <w:r>
        <w:rPr>
          <w:rFonts w:ascii="Times New Roman" w:hAnsi="Times New Roman" w:cs="Times New Roman"/>
          <w:sz w:val="28"/>
          <w:szCs w:val="28"/>
        </w:rPr>
        <w:t xml:space="preserve"> целях координации деятельности органов  и  учреждений системы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правонарушений несовершеннолетних,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Сланцевского района, обеспечения мер по защите и восстановлению прав и законных интересов  несовершеннолетних, выявления и устранения причин и условий, способствующих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безнадзорности, беспризорности,  правонарушениям и антиобщественным  действиям  несовершеннолетних  провести на территории  Сланцевского муниципального района    с  15  февраля 2024 года по 25 февраля   2024 года    этап   «Контингент»  комплексной операци</w:t>
      </w:r>
      <w:r>
        <w:rPr>
          <w:rFonts w:ascii="Times New Roman" w:hAnsi="Times New Roman" w:cs="Times New Roman"/>
          <w:sz w:val="28"/>
          <w:szCs w:val="28"/>
        </w:rPr>
        <w:t xml:space="preserve">и «Подросток».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righ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этапа: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повторной  преступности среди несовершеннолетних, совершивших преступления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прав и законных интересов несовершеннолетних данной категории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– органы Министерства внутренних дел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(ОМВД России по Сланцевскому району), учреждения уголовн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инспекции, осуществляющие деятельность на территории Ленинградской области; ЛОГКУ «Центр социальной защиты населения» филиал в Сланцевском районе»,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ЛОГБУ «СЦРН «Мечта»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Сланцев</w:t>
      </w:r>
      <w:r>
        <w:rPr>
          <w:rFonts w:ascii="Times New Roman" w:hAnsi="Times New Roman" w:cs="Times New Roman"/>
          <w:sz w:val="28"/>
          <w:szCs w:val="28"/>
        </w:rPr>
        <w:t xml:space="preserve">ский  филиал ГКУ «ЦЗН ЛО»</w:t>
      </w:r>
      <w:r>
        <w:rPr>
          <w:rFonts w:ascii="Times New Roman" w:hAnsi="Times New Roman" w:cs="Times New Roman"/>
          <w:sz w:val="28"/>
          <w:szCs w:val="28"/>
        </w:rPr>
        <w:t xml:space="preserve">, сектор по культуре, спорту и молодежной политике администрации Сланцевского муниципального района, комитет образования,   другие органы и учреждения, осуществляющие меры по профилактике безнадзорности и правонарушений несовершенн</w:t>
      </w:r>
      <w:r>
        <w:rPr>
          <w:rFonts w:ascii="Times New Roman" w:hAnsi="Times New Roman" w:cs="Times New Roman"/>
          <w:sz w:val="28"/>
          <w:szCs w:val="28"/>
        </w:rPr>
        <w:t xml:space="preserve">олетних.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этапа необходимо провести работу со следующими  категориями несовершеннолетних, состоящих на учете в ПДН ОМВД России по Сланцевскому району и  в службах системы профилактики: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осужденных  к мерам наказания, не связанных  с лиш</w:t>
      </w:r>
      <w:r>
        <w:rPr>
          <w:rFonts w:ascii="Times New Roman" w:hAnsi="Times New Roman" w:cs="Times New Roman"/>
          <w:sz w:val="28"/>
          <w:szCs w:val="28"/>
        </w:rPr>
        <w:t xml:space="preserve">ением свободы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вернувшихся из учебно – воспитательных учреждений закрытого типа;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совершивших  ООД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несовершеннолетних категории БОЗ, состоящих на учете в ПДН ОМВД России по Сланцевскому району за совершение правонарушений.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Заслушав и обсудив  представл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енную информацию,  комиссия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100" w:beforeAutospacing="1" w:after="0" w:line="240" w:lineRule="auto"/>
        <w:tabs>
          <w:tab w:val="left" w:pos="851" w:leader="none"/>
          <w:tab w:val="left" w:pos="363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ПОСТАНОВИЛА: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провести на территории Сланцевского муниципального района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 15 февраля 2024 года по 25 февраля 2024 года этап «КОНТИНГЕНТ комплексной оп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ерации «ПОДРОСТОК».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2. В период проведения этапа «КОНТИНГЕНТ»: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9"/>
        <w:numPr>
          <w:ilvl w:val="1"/>
          <w:numId w:val="6"/>
        </w:numPr>
        <w:ind w:left="0" w:right="45" w:firstLine="851"/>
        <w:jc w:val="both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ОМВД России по Сланцевскому  району, образовательным организациям  и профессиональному  учреждению района совместно с заинтересованными службами системы профилактики: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2"/>
          <w:numId w:val="6"/>
        </w:numPr>
        <w:ind w:left="0" w:right="45" w:firstLine="851"/>
        <w:jc w:val="both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  </w:t>
      </w:r>
      <w:r>
        <w:rPr>
          <w:rFonts w:ascii="Times New Roman" w:hAnsi="Times New Roman" w:cs="Times New Roman"/>
          <w:sz w:val="28"/>
          <w:szCs w:val="28"/>
        </w:rPr>
        <w:t xml:space="preserve">комплексное 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жилищно – бытовых</w:t>
      </w:r>
      <w:r>
        <w:rPr>
          <w:rFonts w:ascii="Times New Roman" w:hAnsi="Times New Roman" w:cs="Times New Roman"/>
          <w:sz w:val="28"/>
          <w:szCs w:val="28"/>
        </w:rPr>
        <w:t xml:space="preserve"> условий проживания подростков  перечисленных категорий с составлением акта посещения и решения вопросов об оказании необходимой педагогической, психологической, социальной помощи.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/>
        <w:jc w:val="both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 и копии актов  </w:t>
      </w:r>
      <w:r>
        <w:rPr>
          <w:rFonts w:ascii="Times New Roman" w:hAnsi="Times New Roman" w:cs="Times New Roman"/>
          <w:sz w:val="28"/>
          <w:szCs w:val="28"/>
        </w:rPr>
        <w:t xml:space="preserve">посещений направить в сектор по обеспечению деятельности КДН и ЗП администрации Сланцевского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 до 28 февраля 2024 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провести рейды по проверке мест концентрации несовершеннолетних,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за</w:t>
      </w:r>
      <w:r>
        <w:rPr>
          <w:rFonts w:ascii="Times New Roman" w:hAnsi="Times New Roman" w:cs="Times New Roman"/>
          <w:sz w:val="28"/>
          <w:szCs w:val="28"/>
        </w:rPr>
        <w:t xml:space="preserve"> продажей алкогольной </w:t>
      </w:r>
      <w:r>
        <w:rPr>
          <w:rFonts w:ascii="Times New Roman" w:hAnsi="Times New Roman" w:cs="Times New Roman"/>
          <w:sz w:val="28"/>
          <w:szCs w:val="28"/>
        </w:rPr>
        <w:t xml:space="preserve">и табачной продукции несовершеннолетним в торговых предприятиях города и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15 — 25 февраля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2.2. Образовательным организациям и профессиональному учреждению района: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Провести сверку  списков несовершеннолетних, обучающихся в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организациях, состоящих на учете в ПДН ОМВД России по Сланцевскомй району.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Провести анализ досуговой занятости обучающихся, состоящих на учете в ПДН ОМВД России по Сланцевскому району, а также состоящих на внутришкольном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контроле и на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онтроле в профессиональном учреждении, а также обучающихся, проживающих в семьях категории «семьи, находящиеся в социально – опасном положении», отдельно выделив участие отмеченных категорий обучающихся в РДДМ «Движение первых». Информацию о досуговой заня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тости направить в сектор по обеспечению деятельности КДН и ЗП (по состоянию на 28 февраля  2024 года):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9"/>
        <w:numPr>
          <w:ilvl w:val="0"/>
          <w:numId w:val="7"/>
        </w:numPr>
        <w:ind w:left="0" w:right="62" w:firstLine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Досуговая занятость несовершеннолетних,  состоящих на учете в ПДН ОМВД России по Сланцевскому району: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9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410"/>
        <w:gridCol w:w="1417"/>
        <w:gridCol w:w="1134"/>
        <w:gridCol w:w="170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ind w:left="-15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Детские общественные организации «Орлята России», «Движение первых», «Юнармия»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Дополнит.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образование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(вне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рганизац)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 культуры и спорта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тельная организац.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(дополнительное образование)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ind w:left="-283" w:firstLine="99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899"/>
        <w:numPr>
          <w:ilvl w:val="0"/>
          <w:numId w:val="8"/>
        </w:numPr>
        <w:ind w:left="0" w:right="62" w:firstLine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Досуговая занятость несовершеннолетних,  состоящих на внутришкольном и внутриучрежденческом  учете: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9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49"/>
        <w:gridCol w:w="2553"/>
        <w:gridCol w:w="1417"/>
        <w:gridCol w:w="1134"/>
        <w:gridCol w:w="170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contextualSpacing/>
              <w:ind w:left="-15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Детские общественные организации: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«Орлята России»,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-«Движение первых», - «Юнармия»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Дополнит.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образование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(вне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рганизац)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 культуры и спорта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тельная организац.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(дополнительное образование)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ind w:left="-283" w:firstLine="99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899"/>
        <w:numPr>
          <w:ilvl w:val="0"/>
          <w:numId w:val="10"/>
        </w:numPr>
        <w:ind w:left="0" w:right="62" w:firstLine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Досуговая занятость несовершеннолетних,  проживающих в семьях категории «семьи, находящиеся в социально – опасном положении»: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9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410"/>
        <w:gridCol w:w="1417"/>
        <w:gridCol w:w="1134"/>
        <w:gridCol w:w="170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ind w:left="-15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Детские общественные организации: «Орлята России», «Движение первых», «Юнармия»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Дополнит.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образование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(вне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рганизац)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Учреждения культуры и спорта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тельная организац.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ind w:left="-283" w:firstLine="13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(дополнительное образование)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contextualSpacing/>
              <w:ind w:left="-283" w:firstLine="99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contextualSpacing/>
              <w:ind w:left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ind w:left="349"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Срок: до 28 февраля 2024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2.2.3.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в сектор по обеспечению деятельности КДН и ЗП характеристики и копии Планов  индивидуальной профилактической работы с несовершеннолетними, совершившими ООД;  вернувшимися из ГБОУ ЛО «Сланцевское специальное  учебно – воспитательное учреждение зак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рытого типа» (Приложение №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28 февраля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провести анализ банка данных по несовершеннолетним, состоящим на учете в ПДН ОМВД России по Сланцевскому району, а также  вернувшихся из учебно – воспитательных учреждений закрытого типа; с</w:t>
      </w:r>
      <w:r>
        <w:rPr>
          <w:rFonts w:ascii="Times New Roman" w:hAnsi="Times New Roman" w:cs="Times New Roman"/>
          <w:sz w:val="28"/>
          <w:szCs w:val="28"/>
        </w:rPr>
        <w:t xml:space="preserve">овершивших ООД. Направить предложения в ПДН ОМВД России по Сланцевскому району о снятии подростков с профилактического учета.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28 февраля 2024 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направить в ЛОГКУ «Центр социальной защиты населения» филиал в Сланцевском районе» ходатайст</w:t>
      </w:r>
      <w:r>
        <w:rPr>
          <w:rFonts w:ascii="Times New Roman" w:hAnsi="Times New Roman" w:cs="Times New Roman"/>
          <w:sz w:val="28"/>
          <w:szCs w:val="28"/>
        </w:rPr>
        <w:t xml:space="preserve">ва об оказании мер социальной помощи и государственной поддержки несовершеннолетним, указанных категорий.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15 февраля  — 25 февраля 2024 года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2.2.6. спланировать и провести мероприятия, направленные на профилактику совершения несовершеннол</w:t>
      </w:r>
      <w:r>
        <w:rPr>
          <w:rFonts w:ascii="Times New Roman" w:hAnsi="Times New Roman" w:cs="Times New Roman"/>
          <w:sz w:val="28"/>
          <w:szCs w:val="28"/>
        </w:rPr>
        <w:t xml:space="preserve">етними правонарушений и преступлений, в том числе ООД.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15 февраля  — 25 февраля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2.4. Сектору по культуре, спорту и молодежной политике: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2.4.1. Направить в сектор по обеспечению деятельности КДН и ЗП  информацию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уговой занятости несовершеннолетних, состоящих на учете в ПДН ОМВД России по Сланцевкому району за совершение правонарушений в учреждениях  культуры  спорта Сланцевского муниципального района.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9"/>
        <w:numPr>
          <w:ilvl w:val="0"/>
          <w:numId w:val="11"/>
        </w:numPr>
        <w:ind w:left="0" w:right="62" w:firstLine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Досуговая занятость несовершеннолетних,  состоящих на учете в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 ОМВД России по Сланцевскому району в учреждениях культуры и спорта Сланцевского муниципального района: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55"/>
        <w:gridCol w:w="4122"/>
        <w:gridCol w:w="2339"/>
        <w:gridCol w:w="2348"/>
      </w:tblGrid>
      <w:tr>
        <w:trPr/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555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№</w:t>
            </w:r>
            <w:r/>
          </w:p>
          <w:p>
            <w:pPr>
              <w:pStyle w:val="904"/>
              <w:ind w:right="60"/>
              <w:jc w:val="both"/>
            </w:pPr>
            <w:r>
              <w:t xml:space="preserve">п\</w:t>
            </w:r>
            <w:r>
              <w:t xml:space="preserve">п</w:t>
            </w:r>
            <w:r/>
          </w:p>
        </w:tc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4122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Фамилия, имя, отчество</w:t>
            </w:r>
            <w:r/>
          </w:p>
        </w:tc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339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Дата рождения</w:t>
            </w:r>
            <w:r/>
          </w:p>
        </w:tc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48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Досуговая занятость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</w:tcBorders>
            <w:tcW w:w="555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</w:tcBorders>
            <w:tcW w:w="4122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</w:tcBorders>
            <w:tcW w:w="2339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48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</w:tr>
    </w:tbl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numPr>
          <w:ilvl w:val="0"/>
          <w:numId w:val="16"/>
        </w:numPr>
        <w:ind w:left="0" w:right="62" w:firstLine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Досуговая занятость несовершеннолетних,  проживающих в семьях категории «семьи, находящиеся в социально – опасном положении»: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55"/>
        <w:gridCol w:w="4122"/>
        <w:gridCol w:w="2339"/>
        <w:gridCol w:w="2348"/>
      </w:tblGrid>
      <w:tr>
        <w:trPr/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555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№</w:t>
            </w:r>
            <w:r/>
          </w:p>
          <w:p>
            <w:pPr>
              <w:pStyle w:val="904"/>
              <w:ind w:right="60"/>
              <w:jc w:val="both"/>
            </w:pPr>
            <w:r>
              <w:t xml:space="preserve">п\</w:t>
            </w:r>
            <w:r>
              <w:t xml:space="preserve">п</w:t>
            </w:r>
            <w:r/>
          </w:p>
        </w:tc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4122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Фамилия, имя, отчество</w:t>
            </w:r>
            <w:r/>
          </w:p>
        </w:tc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2339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Дата рождения</w:t>
            </w:r>
            <w:r/>
          </w:p>
        </w:tc>
        <w:tc>
          <w:tcPr>
            <w:shd w:val="clear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48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>
              <w:t xml:space="preserve">Досуговая занятость</w:t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</w:tcBorders>
            <w:tcW w:w="555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</w:tcBorders>
            <w:tcW w:w="4122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</w:tcBorders>
            <w:tcW w:w="2339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348" w:type="dxa"/>
            <w:textDirection w:val="lrTb"/>
            <w:noWrap w:val="false"/>
          </w:tcPr>
          <w:p>
            <w:pPr>
              <w:pStyle w:val="904"/>
              <w:ind w:right="60"/>
              <w:jc w:val="both"/>
            </w:pPr>
            <w:r/>
            <w:r/>
          </w:p>
        </w:tc>
      </w:tr>
    </w:tbl>
    <w:p>
      <w:pPr>
        <w:contextualSpacing/>
        <w:ind w:left="349"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15 февраля  — 28 февраля 2024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tabs>
          <w:tab w:val="left" w:pos="85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сектору по обеспечению деятельности КДН и ЗП при администрации Сланцевского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2.5.1.провести анализ занятости  в кружках, спортивных секциях, детских  объединениях  несовершеннолетних, состоящих на учете в ПДН ОМВД России по Сланцевскому  району за совершение правонарушений, в том числе за совершение  престу</w:t>
      </w:r>
      <w:r>
        <w:rPr>
          <w:rFonts w:ascii="Times New Roman" w:hAnsi="Times New Roman" w:cs="Times New Roman"/>
          <w:sz w:val="28"/>
          <w:szCs w:val="28"/>
        </w:rPr>
        <w:t xml:space="preserve">плений и ООД, а также вернувшихся из </w:t>
      </w:r>
      <w:r>
        <w:rPr>
          <w:rFonts w:ascii="Times New Roman" w:hAnsi="Times New Roman" w:cs="Times New Roman"/>
          <w:sz w:val="28"/>
          <w:szCs w:val="28"/>
        </w:rPr>
        <w:t xml:space="preserve">учреждений для несовершеннолетних  закрытого 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состоящих на внутришкольном и внутриучрежденческом учете, а также несовершеннолетних, проживающих в семьях СОП.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14 марта 2023 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комиссии по делам несовершеннолетних и защите их прав: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Рассмотреть на заседании КДН и ЗП вопрос: «Итоги проведения этапа «КОНТИНГЕНТ» комплексной операции «ПОДРОСТОК» на территории Сланцевского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12 марта 2024 года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.2.рассмотреть на заседании КДН и ЗП  вопрос: «Организация  профилактической работы, направленной  на профилактику употребления алкогольной продукции и формирование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 МОУ «Сланцевская СОШ № 6».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14 марта 2023 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Участникам этапа «Контингент»</w:t>
      </w:r>
      <w:r>
        <w:rPr>
          <w:rFonts w:ascii="Times New Roman" w:hAnsi="Times New Roman" w:cs="Times New Roman"/>
          <w:sz w:val="28"/>
          <w:szCs w:val="28"/>
        </w:rPr>
        <w:t xml:space="preserve"> (комитет образования, ПДН ОМВД россии по Сланцевскому району, сектор по культуре, спорту и молодежной политики) представить в сектор по обеспечению деятельности КДН и ЗП при администрации Сланцевского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отчеты и информацию о проведении этапа «Контингент» в срок до  7 марта 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before="100" w:beforeAutospacing="1"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5"/>
        <w:contextualSpacing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делам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            М.А. Щербакова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/>
      <w:r/>
    </w:p>
    <w:p>
      <w:pPr>
        <w:pStyle w:val="895"/>
        <w:contextualSpacing/>
        <w:jc w:val="both"/>
        <w:spacing w:after="0"/>
      </w:pPr>
      <w:r>
        <w:t xml:space="preserve">                           </w:t>
      </w:r>
      <w:r/>
    </w:p>
    <w:sectPr>
      <w:footerReference w:type="default" r:id="rId9"/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14651077"/>
      <w:docPartObj>
        <w:docPartGallery w:val="Page Numbers (Bottom of Page)"/>
        <w:docPartUnique w:val="true"/>
      </w:docPartObj>
      <w:rPr/>
    </w:sdtPr>
    <w:sdtContent>
      <w:p>
        <w:pPr>
          <w:pStyle w:val="90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713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073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2073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433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153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52" w:hanging="360"/>
        <w:tabs>
          <w:tab w:val="num" w:pos="135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5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27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99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71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3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15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87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9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315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Title Char"/>
    <w:basedOn w:val="717"/>
    <w:link w:val="738"/>
    <w:uiPriority w:val="10"/>
    <w:rPr>
      <w:sz w:val="48"/>
      <w:szCs w:val="48"/>
    </w:rPr>
  </w:style>
  <w:style w:type="character" w:styleId="711">
    <w:name w:val="Subtitle Char"/>
    <w:basedOn w:val="717"/>
    <w:link w:val="740"/>
    <w:uiPriority w:val="11"/>
    <w:rPr>
      <w:sz w:val="24"/>
      <w:szCs w:val="24"/>
    </w:rPr>
  </w:style>
  <w:style w:type="character" w:styleId="712">
    <w:name w:val="Quote Char"/>
    <w:link w:val="742"/>
    <w:uiPriority w:val="29"/>
    <w:rPr>
      <w:i/>
    </w:rPr>
  </w:style>
  <w:style w:type="character" w:styleId="713">
    <w:name w:val="Intense Quote Char"/>
    <w:link w:val="744"/>
    <w:uiPriority w:val="30"/>
    <w:rPr>
      <w:i/>
    </w:rPr>
  </w:style>
  <w:style w:type="character" w:styleId="714">
    <w:name w:val="Footnote Text Char"/>
    <w:link w:val="876"/>
    <w:uiPriority w:val="99"/>
    <w:rPr>
      <w:sz w:val="18"/>
    </w:rPr>
  </w:style>
  <w:style w:type="character" w:styleId="715">
    <w:name w:val="Endnote Text Char"/>
    <w:link w:val="879"/>
    <w:uiPriority w:val="99"/>
    <w:rPr>
      <w:sz w:val="20"/>
    </w:rPr>
  </w:style>
  <w:style w:type="paragraph" w:styleId="716" w:default="1">
    <w:name w:val="Normal"/>
    <w:qFormat/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Heading 1"/>
    <w:basedOn w:val="716"/>
    <w:next w:val="716"/>
    <w:link w:val="72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basedOn w:val="717"/>
    <w:link w:val="720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7"/>
    <w:link w:val="893"/>
    <w:uiPriority w:val="9"/>
    <w:rPr>
      <w:rFonts w:ascii="Arial" w:hAnsi="Arial" w:eastAsia="Arial" w:cs="Arial"/>
      <w:sz w:val="34"/>
    </w:rPr>
  </w:style>
  <w:style w:type="paragraph" w:styleId="723" w:customStyle="1">
    <w:name w:val="Heading 3"/>
    <w:basedOn w:val="716"/>
    <w:next w:val="716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24" w:customStyle="1">
    <w:name w:val="Heading 3 Char"/>
    <w:basedOn w:val="717"/>
    <w:link w:val="723"/>
    <w:uiPriority w:val="9"/>
    <w:rPr>
      <w:rFonts w:ascii="Arial" w:hAnsi="Arial" w:eastAsia="Arial" w:cs="Arial"/>
      <w:sz w:val="30"/>
      <w:szCs w:val="30"/>
    </w:rPr>
  </w:style>
  <w:style w:type="paragraph" w:styleId="725" w:customStyle="1">
    <w:name w:val="Heading 4"/>
    <w:basedOn w:val="716"/>
    <w:next w:val="716"/>
    <w:link w:val="72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4 Char"/>
    <w:basedOn w:val="717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16"/>
    <w:next w:val="716"/>
    <w:link w:val="72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5 Char"/>
    <w:basedOn w:val="717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 w:customStyle="1">
    <w:name w:val="Heading 6"/>
    <w:basedOn w:val="716"/>
    <w:next w:val="716"/>
    <w:link w:val="73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30" w:customStyle="1">
    <w:name w:val="Heading 6 Char"/>
    <w:basedOn w:val="717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 w:customStyle="1">
    <w:name w:val="Heading 7"/>
    <w:basedOn w:val="716"/>
    <w:next w:val="716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32" w:customStyle="1">
    <w:name w:val="Heading 7 Char"/>
    <w:basedOn w:val="717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 w:customStyle="1">
    <w:name w:val="Heading 8"/>
    <w:basedOn w:val="716"/>
    <w:next w:val="716"/>
    <w:link w:val="73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34" w:customStyle="1">
    <w:name w:val="Heading 8 Char"/>
    <w:basedOn w:val="717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 w:customStyle="1">
    <w:name w:val="Heading 9"/>
    <w:basedOn w:val="716"/>
    <w:next w:val="716"/>
    <w:link w:val="73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Heading 9 Char"/>
    <w:basedOn w:val="717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716"/>
    <w:next w:val="716"/>
    <w:link w:val="739"/>
    <w:uiPriority w:val="10"/>
    <w:qFormat/>
    <w:pPr>
      <w:contextualSpacing/>
      <w:spacing w:before="300"/>
    </w:pPr>
    <w:rPr>
      <w:sz w:val="48"/>
      <w:szCs w:val="48"/>
    </w:rPr>
  </w:style>
  <w:style w:type="character" w:styleId="739" w:customStyle="1">
    <w:name w:val="Название Знак"/>
    <w:basedOn w:val="717"/>
    <w:link w:val="738"/>
    <w:uiPriority w:val="10"/>
    <w:rPr>
      <w:sz w:val="48"/>
      <w:szCs w:val="48"/>
    </w:rPr>
  </w:style>
  <w:style w:type="paragraph" w:styleId="740">
    <w:name w:val="Subtitle"/>
    <w:basedOn w:val="716"/>
    <w:next w:val="716"/>
    <w:link w:val="741"/>
    <w:uiPriority w:val="11"/>
    <w:qFormat/>
    <w:pPr>
      <w:spacing w:before="200"/>
    </w:pPr>
    <w:rPr>
      <w:sz w:val="24"/>
      <w:szCs w:val="24"/>
    </w:rPr>
  </w:style>
  <w:style w:type="character" w:styleId="741" w:customStyle="1">
    <w:name w:val="Подзаголовок Знак"/>
    <w:basedOn w:val="717"/>
    <w:link w:val="740"/>
    <w:uiPriority w:val="11"/>
    <w:rPr>
      <w:sz w:val="24"/>
      <w:szCs w:val="24"/>
    </w:rPr>
  </w:style>
  <w:style w:type="paragraph" w:styleId="742">
    <w:name w:val="Quote"/>
    <w:basedOn w:val="716"/>
    <w:next w:val="716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6"/>
    <w:next w:val="716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17"/>
    <w:link w:val="900"/>
    <w:uiPriority w:val="99"/>
  </w:style>
  <w:style w:type="character" w:styleId="747" w:customStyle="1">
    <w:name w:val="Footer Char"/>
    <w:basedOn w:val="717"/>
    <w:link w:val="902"/>
    <w:uiPriority w:val="99"/>
  </w:style>
  <w:style w:type="paragraph" w:styleId="748" w:customStyle="1">
    <w:name w:val="Caption"/>
    <w:basedOn w:val="716"/>
    <w:next w:val="71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link w:val="902"/>
    <w:uiPriority w:val="99"/>
  </w:style>
  <w:style w:type="table" w:styleId="750" w:customStyle="1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716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17"/>
    <w:uiPriority w:val="99"/>
    <w:unhideWhenUsed/>
    <w:rPr>
      <w:vertAlign w:val="superscript"/>
    </w:rPr>
  </w:style>
  <w:style w:type="paragraph" w:styleId="879">
    <w:name w:val="endnote text"/>
    <w:basedOn w:val="716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7"/>
    <w:uiPriority w:val="99"/>
    <w:semiHidden/>
    <w:unhideWhenUsed/>
    <w:rPr>
      <w:vertAlign w:val="superscript"/>
    </w:rPr>
  </w:style>
  <w:style w:type="paragraph" w:styleId="882">
    <w:name w:val="toc 1"/>
    <w:basedOn w:val="716"/>
    <w:next w:val="716"/>
    <w:uiPriority w:val="39"/>
    <w:unhideWhenUsed/>
    <w:pPr>
      <w:spacing w:after="57"/>
    </w:pPr>
  </w:style>
  <w:style w:type="paragraph" w:styleId="883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4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5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6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7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8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89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0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6"/>
    <w:next w:val="716"/>
    <w:uiPriority w:val="99"/>
    <w:unhideWhenUsed/>
    <w:pPr>
      <w:spacing w:after="0"/>
    </w:pPr>
  </w:style>
  <w:style w:type="paragraph" w:styleId="893" w:customStyle="1">
    <w:name w:val="Heading 2"/>
    <w:basedOn w:val="716"/>
    <w:link w:val="894"/>
    <w:uiPriority w:val="9"/>
    <w:qFormat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94" w:customStyle="1">
    <w:name w:val="Заголовок 2 Знак"/>
    <w:basedOn w:val="717"/>
    <w:link w:val="89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5">
    <w:name w:val="Normal (Web)"/>
    <w:basedOn w:val="716"/>
    <w:uiPriority w:val="99"/>
    <w:unhideWhenUsed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6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7">
    <w:name w:val="Balloon Text"/>
    <w:basedOn w:val="716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717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>
    <w:name w:val="List Paragraph"/>
    <w:basedOn w:val="716"/>
    <w:uiPriority w:val="34"/>
    <w:qFormat/>
    <w:pPr>
      <w:contextualSpacing/>
      <w:ind w:left="720"/>
    </w:pPr>
  </w:style>
  <w:style w:type="paragraph" w:styleId="900" w:customStyle="1">
    <w:name w:val="Header"/>
    <w:basedOn w:val="716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717"/>
    <w:link w:val="900"/>
    <w:uiPriority w:val="99"/>
  </w:style>
  <w:style w:type="paragraph" w:styleId="902" w:customStyle="1">
    <w:name w:val="Footer"/>
    <w:basedOn w:val="716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717"/>
    <w:link w:val="902"/>
    <w:uiPriority w:val="99"/>
  </w:style>
  <w:style w:type="paragraph" w:styleId="904" w:customStyle="1">
    <w:name w:val="Содержимое таблицы"/>
    <w:basedOn w:val="716"/>
    <w:pPr>
      <w:spacing w:after="0" w:line="100" w:lineRule="atLeast"/>
      <w:suppressLineNumbers/>
    </w:pPr>
    <w:rPr>
      <w:rFonts w:ascii="Times New Roman" w:hAnsi="Times New Roman" w:eastAsia="Times New Roman" w:cs="Times New Roman"/>
      <w:sz w:val="20"/>
      <w:szCs w:val="20"/>
      <w:lang w:eastAsia="hi-IN" w:bidi="hi-IN"/>
    </w:rPr>
  </w:style>
  <w:style w:type="paragraph" w:styleId="905" w:customStyle="1">
    <w:name w:val="Обычный (веб)1"/>
    <w:pPr>
      <w:spacing w:before="28" w:after="119" w:line="100" w:lineRule="atLeast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hi-IN" w:bidi="hi-IN"/>
    </w:rPr>
  </w:style>
  <w:style w:type="paragraph" w:styleId="906" w:customStyle="1">
    <w:name w:val="Основной текст с отступом 31"/>
    <w:semiHidden/>
    <w:unhideWhenUsed/>
    <w:pPr>
      <w:ind w:right="-1" w:firstLine="426"/>
      <w:jc w:val="both"/>
      <w:spacing w:after="0" w:line="240" w:lineRule="auto"/>
      <w:shd w:val="nil"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revision>6</cp:revision>
  <dcterms:created xsi:type="dcterms:W3CDTF">2024-02-20T12:27:00Z</dcterms:created>
  <dcterms:modified xsi:type="dcterms:W3CDTF">2024-02-28T08:57:50Z</dcterms:modified>
</cp:coreProperties>
</file>