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документов, необходимых для рассмотрения вопроса 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выдаче разрешения на совершение сделок 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движимым имуществом</w:t>
      </w: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несовершеннолетних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(гражданина, признанного или ограниченного 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судом в дееспособности)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паспорта законных представителей (</w:t>
      </w:r>
      <w:r w:rsidRPr="00060FB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рождении несовершеннолетнего;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браке родителей несовершеннолетнего / о расторжении брака;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отчет об оценке рыночной стоимости отчуждаемого имущества, подготовленный в соответствии с законодательством Российской Федерации об оценочной деятельности;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регистрации транспортного средства (в случае если совершается сделка по продаже транспортного средства, принадлежащего несовершеннолетнему)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праве на наследство по закону либо иные документы, подтверждающие право собственности;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паспорт транспортного средства (в том числе лодок, катеров);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письменное согласие собственника приобретаемого имущества на отчуждение имущества (его доли) в пользу подопечного.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данные органов регистрационного учета либо иные документы, подтверждающие факт проживания несовершеннолетнего на территории </w:t>
      </w:r>
      <w:proofErr w:type="spellStart"/>
      <w:r w:rsidR="00DF725A">
        <w:rPr>
          <w:rFonts w:ascii="Times New Roman" w:hAnsi="Times New Roman" w:cs="Times New Roman"/>
          <w:color w:val="000000" w:themeColor="text1"/>
          <w:sz w:val="32"/>
          <w:szCs w:val="32"/>
        </w:rPr>
        <w:t>Сланцев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ского</w:t>
      </w:r>
      <w:proofErr w:type="spellEnd"/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района (ф.9);</w:t>
      </w:r>
    </w:p>
    <w:p w:rsidR="008320D2" w:rsidRP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20D2">
        <w:rPr>
          <w:rFonts w:ascii="Times New Roman" w:hAnsi="Times New Roman" w:cs="Times New Roman"/>
          <w:color w:val="000000" w:themeColor="text1"/>
          <w:sz w:val="32"/>
          <w:szCs w:val="32"/>
        </w:rPr>
        <w:t>реквизиты лицевого счета, открытого на основании договора банковского вклада на имя подопечного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13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38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признании второго родителя недееспособным;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lastRenderedPageBreak/>
        <w:t>решение суда о признании второго родителя безвестно отсутствующим или умершим;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отмене усыновления (удочерения);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8320D2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  <w:r w:rsidRPr="00060FBF">
        <w:rPr>
          <w:color w:val="000000" w:themeColor="text1"/>
          <w:sz w:val="32"/>
          <w:szCs w:val="32"/>
        </w:rPr>
        <w:t xml:space="preserve">Если второй родитель уклоняется от воспитания и содержания несовершеннолетнего, то заявитель </w:t>
      </w:r>
      <w:r w:rsidRPr="00060FBF">
        <w:rPr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color w:val="000000" w:themeColor="text1"/>
          <w:sz w:val="32"/>
          <w:szCs w:val="32"/>
        </w:rPr>
        <w:t xml:space="preserve">: 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060FBF">
        <w:rPr>
          <w:color w:val="000000" w:themeColor="text1"/>
          <w:sz w:val="32"/>
          <w:szCs w:val="32"/>
        </w:rPr>
        <w:t>задолжности</w:t>
      </w:r>
      <w:proofErr w:type="spellEnd"/>
      <w:r w:rsidRPr="00060FBF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8320D2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8320D2" w:rsidRPr="00060FBF" w:rsidRDefault="008320D2" w:rsidP="003161F5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Документы, настоящего Перечня предоставляются в МФЦ в оригиналах для установления личности и копируются в МФЦ для рассмотрения в </w:t>
      </w:r>
      <w:r w:rsidR="003161F5">
        <w:rPr>
          <w:color w:val="000000" w:themeColor="text1"/>
          <w:sz w:val="32"/>
          <w:szCs w:val="32"/>
        </w:rPr>
        <w:t>Комитете образования, уполномоченном органе по опеке и попечительству.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665D" w:rsidRDefault="002B665D"/>
    <w:sectPr w:rsidR="002B665D" w:rsidSect="00CA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F7D8A"/>
    <w:multiLevelType w:val="hybridMultilevel"/>
    <w:tmpl w:val="D27A13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320D2"/>
    <w:rsid w:val="002B665D"/>
    <w:rsid w:val="003161F5"/>
    <w:rsid w:val="007459F8"/>
    <w:rsid w:val="008320D2"/>
    <w:rsid w:val="00855C27"/>
    <w:rsid w:val="008B7833"/>
    <w:rsid w:val="00CA640B"/>
    <w:rsid w:val="00D03E81"/>
    <w:rsid w:val="00D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832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20D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832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20D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HP</cp:lastModifiedBy>
  <cp:revision>2</cp:revision>
  <dcterms:created xsi:type="dcterms:W3CDTF">2023-11-28T10:33:00Z</dcterms:created>
  <dcterms:modified xsi:type="dcterms:W3CDTF">2023-11-28T10:33:00Z</dcterms:modified>
</cp:coreProperties>
</file>