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984"/>
        <w:gridCol w:w="3118"/>
        <w:gridCol w:w="142"/>
        <w:gridCol w:w="2977"/>
        <w:gridCol w:w="1417"/>
      </w:tblGrid>
      <w:tr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00" w:lineRule="atLeast"/>
              <w:rPr>
                <w:rFonts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8390" cy="782749"/>
                      <wp:effectExtent l="0" t="0" r="0" b="0"/>
                      <wp:docPr id="1" name="_x0000_i104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28390" cy="7827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9.5pt;height:61.6pt;mso-wrap-distance-left:0.0pt;mso-wrap-distance-top:0.0pt;mso-wrap-distance-right:0.0pt;mso-wrap-distance-bottom:0.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pStyle w:val="896"/>
              <w:jc w:val="center"/>
              <w:spacing w:line="200" w:lineRule="atLeast"/>
              <w:rPr>
                <w:rFonts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auto"/>
                <w:sz w:val="26"/>
                <w:szCs w:val="26"/>
              </w:rPr>
              <w:t xml:space="preserve">Администрация муниципального образования</w:t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pStyle w:val="896"/>
              <w:jc w:val="center"/>
              <w:spacing w:line="200" w:lineRule="atLeast"/>
              <w:rPr>
                <w:rFonts w:cs="Times New Roman"/>
                <w:b/>
                <w:bCs/>
                <w:color w:val="auto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auto"/>
                <w:sz w:val="26"/>
                <w:szCs w:val="26"/>
              </w:rPr>
              <w:t xml:space="preserve">Сланцевский муниципальный район Ленинградской области</w:t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pStyle w:val="896"/>
              <w:jc w:val="center"/>
              <w:spacing w:line="200" w:lineRule="atLeast"/>
              <w:rPr>
                <w:rFonts w:cs="Times New Roman"/>
                <w:b/>
                <w:bCs/>
                <w:color w:val="auto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auto"/>
                <w:spacing w:val="-4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pStyle w:val="896"/>
              <w:jc w:val="center"/>
              <w:spacing w:line="200" w:lineRule="atLeast"/>
              <w:rPr>
                <w:rFonts w:cs="Times New Roman"/>
                <w:b/>
                <w:bCs/>
                <w:color w:val="auto"/>
                <w:spacing w:val="2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auto"/>
                <w:spacing w:val="20"/>
                <w:sz w:val="26"/>
                <w:szCs w:val="26"/>
              </w:rPr>
              <w:t xml:space="preserve">ПОСТАНОВЛЕНИЕ</w:t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pStyle w:val="896"/>
              <w:jc w:val="center"/>
              <w:spacing w:line="200" w:lineRule="atLeast"/>
              <w:rPr>
                <w:rFonts w:cs="Times New Roman"/>
                <w:b/>
                <w:bCs/>
                <w:color w:val="auto"/>
                <w:spacing w:val="2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auto"/>
                <w:spacing w:val="20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00" w:lineRule="atLeast"/>
              <w:rPr>
                <w:rFonts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/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896"/>
              <w:spacing w:line="200" w:lineRule="atLeast"/>
              <w:rPr>
                <w:rFonts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/>
          </w:p>
        </w:tc>
        <w:tc>
          <w:tcPr>
            <w:gridSpan w:val="2"/>
            <w:tcW w:w="3119" w:type="dxa"/>
            <w:vAlign w:val="top"/>
            <w:textDirection w:val="lrTb"/>
            <w:noWrap w:val="false"/>
          </w:tcPr>
          <w:p>
            <w:pPr>
              <w:pStyle w:val="896"/>
              <w:jc w:val="right"/>
              <w:spacing w:line="200" w:lineRule="atLeast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6"/>
                <w:szCs w:val="26"/>
              </w:rPr>
              <w:t xml:space="preserve">№</w:t>
            </w:r>
            <w:r>
              <w:rPr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00" w:lineRule="atLeast"/>
              <w:rPr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 xml:space="preserve">проект</w:t>
            </w:r>
            <w:r>
              <w:rPr>
                <w:color w:val="auto"/>
                <w:sz w:val="26"/>
                <w:szCs w:val="26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966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О внесении изменений и дополнений в административный регламент предоставления муниципальной услуги «</w:t>
            </w:r>
            <w:r>
              <w:rPr>
                <w:color w:val="auto"/>
                <w:sz w:val="26"/>
                <w:szCs w:val="26"/>
              </w:rPr>
              <w:t xml:space="preserve">Согласование проведения ярмарки на публичной ярмарочной площадке на территории муниципального образования Сланцевское городское поселение Сланцевского муниципального района Ленинградской области</w:t>
            </w:r>
            <w:r>
              <w:rPr>
                <w:color w:val="auto"/>
                <w:sz w:val="26"/>
                <w:szCs w:val="26"/>
              </w:rPr>
              <w:t xml:space="preserve">», утвержденный постановлением администрации Сланцевского муниципального района от </w:t>
            </w:r>
            <w:r>
              <w:rPr>
                <w:color w:val="auto"/>
                <w:sz w:val="26"/>
                <w:szCs w:val="26"/>
              </w:rPr>
              <w:t xml:space="preserve">25.10.2022</w:t>
            </w:r>
            <w:r>
              <w:rPr>
                <w:color w:val="auto"/>
                <w:sz w:val="26"/>
                <w:szCs w:val="26"/>
              </w:rPr>
              <w:t xml:space="preserve"> № </w:t>
            </w:r>
            <w:r>
              <w:rPr>
                <w:color w:val="auto"/>
                <w:sz w:val="26"/>
                <w:szCs w:val="26"/>
              </w:rPr>
              <w:t xml:space="preserve">1660-п (с изменениями от 27.01.2023 № 134-п)</w:t>
            </w:r>
            <w:r>
              <w:rPr>
                <w:color w:val="auto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96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/>
          </w:p>
        </w:tc>
      </w:tr>
    </w:tbl>
    <w:p>
      <w:pPr>
        <w:pStyle w:val="964"/>
        <w:ind w:left="0" w:right="0" w:firstLine="56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соответствии с Федеральным законом от 06.10.2003 № 131-ФЗ «Об общих принцип</w:t>
      </w:r>
      <w:r>
        <w:rPr>
          <w:color w:val="auto"/>
          <w:sz w:val="26"/>
          <w:szCs w:val="26"/>
        </w:rPr>
        <w:t xml:space="preserve">ах организации местного самоуправления в Российской Федерации», Федеральными законом от 27.07.2010  № 210-ФЗ «Об организации предоставления государственных и муниципальных услуг», распоряжением Правительства Ленинградской области от 28.07.2023 № 502-р «</w:t>
      </w:r>
      <w:r>
        <w:rPr>
          <w:color w:val="auto"/>
          <w:sz w:val="26"/>
          <w:szCs w:val="26"/>
        </w:rPr>
        <w:t xml:space="preserve">О внесении изменений в распоряжение Правительства Ленинградской области </w:t>
      </w:r>
      <w:r>
        <w:rPr>
          <w:color w:val="auto"/>
          <w:sz w:val="26"/>
          <w:szCs w:val="26"/>
        </w:rPr>
        <w:t xml:space="preserve">                          </w:t>
      </w:r>
      <w:r>
        <w:rPr>
          <w:color w:val="auto"/>
          <w:sz w:val="26"/>
          <w:szCs w:val="26"/>
        </w:rPr>
        <w:t xml:space="preserve">от 28 декабря 2015 года № 585-р»,</w:t>
      </w:r>
      <w:r>
        <w:rPr>
          <w:color w:val="auto"/>
          <w:sz w:val="26"/>
          <w:szCs w:val="26"/>
        </w:rPr>
        <w:t xml:space="preserve"> администрация Сланцевского муниципального района    п о с т а н о в л я е т:</w:t>
      </w:r>
      <w:r>
        <w:rPr>
          <w:color w:val="auto"/>
          <w:sz w:val="26"/>
          <w:szCs w:val="26"/>
        </w:rPr>
      </w:r>
      <w:r/>
    </w:p>
    <w:p>
      <w:pPr>
        <w:pStyle w:val="964"/>
        <w:numPr>
          <w:ilvl w:val="0"/>
          <w:numId w:val="0"/>
        </w:numPr>
        <w:ind w:left="0" w:right="0" w:firstLine="567"/>
        <w:rPr>
          <w:color w:val="auto"/>
          <w:sz w:val="26"/>
          <w:szCs w:val="26"/>
          <w14:ligatures w14:val="none"/>
        </w:rPr>
      </w:pPr>
      <w:r>
        <w:rPr>
          <w:color w:val="auto"/>
          <w:sz w:val="26"/>
          <w:szCs w:val="26"/>
        </w:rPr>
        <w:t xml:space="preserve">1. Внести в </w:t>
      </w:r>
      <w:r>
        <w:rPr>
          <w:color w:val="auto"/>
          <w:sz w:val="26"/>
          <w:szCs w:val="26"/>
        </w:rPr>
        <w:t xml:space="preserve">административный регламент предоставления муниципальной услуги «</w:t>
      </w:r>
      <w:r>
        <w:rPr>
          <w:color w:val="auto"/>
          <w:sz w:val="26"/>
          <w:szCs w:val="26"/>
        </w:rPr>
        <w:t xml:space="preserve">Согласование проведения ярмарки на публичной ярмарочной площадке на территории муниципального образования Сланцевское городское поселение Сланцевского муниципального района Ленинградской области</w:t>
      </w:r>
      <w:r>
        <w:rPr>
          <w:color w:val="auto"/>
          <w:sz w:val="26"/>
          <w:szCs w:val="26"/>
        </w:rPr>
        <w:t xml:space="preserve">», утвержденный постановлением администрации Сланцевского муниципального района от </w:t>
      </w:r>
      <w:r>
        <w:rPr>
          <w:color w:val="auto"/>
          <w:sz w:val="26"/>
          <w:szCs w:val="26"/>
        </w:rPr>
        <w:t xml:space="preserve">25.10.2022</w:t>
      </w:r>
      <w:r>
        <w:rPr>
          <w:color w:val="auto"/>
          <w:sz w:val="26"/>
          <w:szCs w:val="26"/>
        </w:rPr>
        <w:t xml:space="preserve"> № </w:t>
      </w:r>
      <w:r>
        <w:rPr>
          <w:color w:val="auto"/>
          <w:sz w:val="26"/>
          <w:szCs w:val="26"/>
        </w:rPr>
        <w:t xml:space="preserve">1660-п (с изменениями от 27.01.2023 № 134-п)</w:t>
      </w:r>
      <w:r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 xml:space="preserve"> сл</w:t>
      </w:r>
      <w:r>
        <w:rPr>
          <w:color w:val="auto"/>
          <w:sz w:val="26"/>
          <w:szCs w:val="26"/>
        </w:rPr>
        <w:t xml:space="preserve">едующ</w:t>
      </w:r>
      <w:r>
        <w:rPr>
          <w:color w:val="auto"/>
          <w:sz w:val="26"/>
          <w:szCs w:val="26"/>
        </w:rPr>
        <w:t xml:space="preserve">и</w:t>
      </w:r>
      <w:r>
        <w:rPr>
          <w:color w:val="auto"/>
          <w:sz w:val="26"/>
          <w:szCs w:val="26"/>
        </w:rPr>
        <w:t xml:space="preserve">е изменения</w:t>
      </w:r>
      <w:r>
        <w:rPr>
          <w:color w:val="auto"/>
          <w:sz w:val="26"/>
          <w:szCs w:val="26"/>
        </w:rPr>
        <w:t xml:space="preserve">:</w:t>
      </w:r>
      <w:r>
        <w:rPr>
          <w:color w:val="auto"/>
          <w:sz w:val="26"/>
          <w:szCs w:val="26"/>
        </w:rPr>
      </w:r>
      <w:r/>
    </w:p>
    <w:p>
      <w:pPr>
        <w:pStyle w:val="964"/>
        <w:numPr>
          <w:ilvl w:val="0"/>
          <w:numId w:val="0"/>
        </w:numPr>
        <w:ind w:left="0" w:right="0" w:firstLine="567"/>
        <w:rPr>
          <w:color w:val="auto"/>
          <w:sz w:val="26"/>
          <w:szCs w:val="26"/>
          <w14:ligatures w14:val="none"/>
        </w:rPr>
      </w:pPr>
      <w:r>
        <w:rPr>
          <w:color w:val="auto"/>
          <w:sz w:val="26"/>
          <w:szCs w:val="26"/>
        </w:rPr>
        <w:t xml:space="preserve">1.1. Пункт 2.2. изложить в новой редакции следующего содержания:</w:t>
      </w:r>
      <w:r>
        <w:rPr>
          <w:color w:val="auto"/>
          <w:sz w:val="26"/>
          <w:szCs w:val="26"/>
        </w:rPr>
      </w:r>
      <w:r/>
    </w:p>
    <w:p>
      <w:pPr>
        <w:pStyle w:val="964"/>
        <w:ind w:left="0" w:right="0" w:firstLine="567"/>
        <w:rPr>
          <w:color w:val="auto"/>
          <w:sz w:val="26"/>
          <w:szCs w:val="26"/>
          <w14:ligatures w14:val="none"/>
        </w:rPr>
      </w:pPr>
      <w:r>
        <w:rPr>
          <w:color w:val="auto"/>
          <w:sz w:val="26"/>
          <w:szCs w:val="26"/>
        </w:rPr>
        <w:t xml:space="preserve">«</w:t>
      </w:r>
      <w:r>
        <w:rPr>
          <w:color w:val="auto"/>
          <w:sz w:val="26"/>
          <w:szCs w:val="26"/>
        </w:rPr>
        <w:t xml:space="preserve">2.2. Муниципальную услугу предоставляет администрация муниципального образования Сланцевский муниципальный район Ленинградской области (далее – Администрация).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Структурным подразделением администрации, ответственным за предоставление муниципальной услуги, является сектор по агропромышленному комплексу (далее – Сектор).</w:t>
      </w:r>
      <w:r>
        <w:rPr>
          <w:color w:val="auto"/>
          <w:sz w:val="26"/>
          <w:szCs w:val="26"/>
        </w:rPr>
      </w:r>
      <w:r/>
    </w:p>
    <w:p>
      <w:pPr>
        <w:pStyle w:val="964"/>
        <w:rPr>
          <w:color w:val="auto"/>
          <w:sz w:val="26"/>
          <w:szCs w:val="26"/>
          <w14:ligatures w14:val="none"/>
        </w:rPr>
      </w:pPr>
      <w:r>
        <w:rPr>
          <w:color w:val="auto"/>
          <w:sz w:val="26"/>
          <w:szCs w:val="26"/>
        </w:rPr>
        <w:t xml:space="preserve">В предоставлении муниципальной услуги участвуют: </w:t>
      </w:r>
      <w:r>
        <w:rPr>
          <w:color w:val="auto"/>
          <w:sz w:val="26"/>
          <w:szCs w:val="26"/>
        </w:rPr>
      </w:r>
      <w:r/>
    </w:p>
    <w:p>
      <w:pPr>
        <w:pStyle w:val="964"/>
        <w:rPr>
          <w:color w:val="auto"/>
          <w:sz w:val="26"/>
          <w:szCs w:val="26"/>
          <w14:ligatures w14:val="none"/>
        </w:rPr>
      </w:pPr>
      <w:r>
        <w:rPr>
          <w:color w:val="auto"/>
          <w:sz w:val="26"/>
          <w:szCs w:val="26"/>
        </w:rPr>
        <w:t xml:space="preserve">- ГБУ ЛО «МФЦ»;</w:t>
      </w:r>
      <w:r>
        <w:rPr>
          <w:color w:val="auto"/>
          <w:sz w:val="26"/>
          <w:szCs w:val="26"/>
        </w:rPr>
      </w:r>
      <w:r/>
    </w:p>
    <w:p>
      <w:pPr>
        <w:pStyle w:val="964"/>
        <w:rPr>
          <w:color w:val="auto"/>
          <w:sz w:val="26"/>
          <w:szCs w:val="26"/>
          <w14:ligatures w14:val="none"/>
        </w:rPr>
      </w:pPr>
      <w:r>
        <w:rPr>
          <w:color w:val="auto"/>
          <w:sz w:val="26"/>
          <w:szCs w:val="26"/>
        </w:rPr>
        <w:t xml:space="preserve">- Федеральная налоговая служба Российской Федерации.</w:t>
      </w:r>
      <w:r>
        <w:rPr>
          <w:color w:val="auto"/>
          <w:sz w:val="26"/>
          <w:szCs w:val="26"/>
        </w:rPr>
      </w:r>
      <w:r/>
    </w:p>
    <w:p>
      <w:pPr>
        <w:pStyle w:val="964"/>
        <w:rPr>
          <w:color w:val="auto"/>
          <w:sz w:val="26"/>
          <w:szCs w:val="26"/>
          <w14:ligatures w14:val="none"/>
        </w:rPr>
      </w:pPr>
      <w:r>
        <w:rPr>
          <w:color w:val="auto"/>
          <w:sz w:val="26"/>
          <w:szCs w:val="26"/>
        </w:rPr>
        <w:t xml:space="preserve">Заявление на получение муниципальной услуги с комплектом документов принимается:</w:t>
      </w:r>
      <w:r>
        <w:rPr>
          <w:color w:val="auto"/>
          <w:sz w:val="26"/>
          <w:szCs w:val="26"/>
        </w:rPr>
      </w:r>
      <w:r/>
    </w:p>
    <w:p>
      <w:pPr>
        <w:pStyle w:val="964"/>
        <w:rPr>
          <w:color w:val="auto"/>
          <w:sz w:val="26"/>
          <w:szCs w:val="26"/>
          <w14:ligatures w14:val="none"/>
        </w:rPr>
      </w:pPr>
      <w:r>
        <w:rPr>
          <w:color w:val="auto"/>
          <w:sz w:val="26"/>
          <w:szCs w:val="26"/>
        </w:rPr>
        <w:t xml:space="preserve">1) при личной явке:</w:t>
      </w:r>
      <w:r>
        <w:rPr>
          <w:color w:val="auto"/>
          <w:sz w:val="26"/>
          <w:szCs w:val="26"/>
        </w:rPr>
      </w:r>
      <w:r/>
    </w:p>
    <w:p>
      <w:pPr>
        <w:pStyle w:val="964"/>
        <w:rPr>
          <w:color w:val="auto"/>
          <w:sz w:val="26"/>
          <w:szCs w:val="26"/>
          <w14:ligatures w14:val="none"/>
        </w:rPr>
      </w:pPr>
      <w:r>
        <w:rPr>
          <w:color w:val="auto"/>
          <w:sz w:val="26"/>
          <w:szCs w:val="26"/>
        </w:rPr>
        <w:t xml:space="preserve">в филиалах, отделах, удаленных рабочих местах ГБУ ЛО «МФЦ»;</w:t>
      </w:r>
      <w:r>
        <w:rPr>
          <w:color w:val="auto"/>
          <w:sz w:val="26"/>
          <w:szCs w:val="26"/>
        </w:rPr>
      </w:r>
      <w:r/>
    </w:p>
    <w:p>
      <w:pPr>
        <w:pStyle w:val="964"/>
        <w:rPr>
          <w:color w:val="auto"/>
          <w:sz w:val="26"/>
          <w:szCs w:val="26"/>
          <w14:ligatures w14:val="none"/>
        </w:rPr>
      </w:pPr>
      <w:r>
        <w:rPr>
          <w:color w:val="auto"/>
          <w:sz w:val="26"/>
          <w:szCs w:val="26"/>
        </w:rPr>
        <w:t xml:space="preserve">2) без личной явки:</w:t>
      </w:r>
      <w:r>
        <w:rPr>
          <w:color w:val="auto"/>
          <w:sz w:val="26"/>
          <w:szCs w:val="26"/>
        </w:rPr>
      </w:r>
      <w:r/>
    </w:p>
    <w:p>
      <w:pPr>
        <w:pStyle w:val="964"/>
        <w:rPr>
          <w:color w:val="auto"/>
          <w:sz w:val="26"/>
          <w:szCs w:val="26"/>
          <w14:ligatures w14:val="none"/>
        </w:rPr>
      </w:pPr>
      <w:r>
        <w:rPr>
          <w:color w:val="auto"/>
          <w:sz w:val="26"/>
          <w:szCs w:val="26"/>
        </w:rPr>
        <w:t xml:space="preserve">в электронной форме через личный кабинет заявителя на ПГУ ЛО/ЕПГУ.</w:t>
      </w:r>
      <w:r>
        <w:rPr>
          <w:color w:val="auto"/>
          <w:sz w:val="26"/>
          <w:szCs w:val="26"/>
        </w:rPr>
      </w:r>
      <w:r/>
    </w:p>
    <w:p>
      <w:pPr>
        <w:pStyle w:val="964"/>
        <w:rPr>
          <w:color w:val="auto"/>
          <w:sz w:val="26"/>
          <w:szCs w:val="26"/>
          <w14:ligatures w14:val="none"/>
        </w:rPr>
      </w:pPr>
      <w:r>
        <w:rPr>
          <w:color w:val="auto"/>
          <w:sz w:val="26"/>
          <w:szCs w:val="26"/>
        </w:rPr>
        <w:t xml:space="preserve">Заявитель имеет право записаться на прием для подачи заявления о предоставлении услуги следующими способами:</w:t>
      </w:r>
      <w:r>
        <w:rPr>
          <w:color w:val="auto"/>
          <w:sz w:val="26"/>
          <w:szCs w:val="26"/>
        </w:rPr>
      </w:r>
      <w:r/>
    </w:p>
    <w:p>
      <w:pPr>
        <w:pStyle w:val="964"/>
        <w:rPr>
          <w:color w:val="auto"/>
          <w:sz w:val="26"/>
          <w:szCs w:val="26"/>
          <w14:ligatures w14:val="none"/>
        </w:rPr>
      </w:pPr>
      <w:r>
        <w:rPr>
          <w:color w:val="auto"/>
          <w:sz w:val="26"/>
          <w:szCs w:val="26"/>
        </w:rPr>
        <w:t xml:space="preserve">1) посредством ПГУ ЛО/ЕПГУ –  в МФЦ (при технической реализации);</w:t>
      </w:r>
      <w:r>
        <w:rPr>
          <w:color w:val="auto"/>
          <w:sz w:val="26"/>
          <w:szCs w:val="26"/>
        </w:rPr>
      </w:r>
      <w:r/>
    </w:p>
    <w:p>
      <w:pPr>
        <w:pStyle w:val="964"/>
        <w:rPr>
          <w:color w:val="auto"/>
          <w:sz w:val="26"/>
          <w:szCs w:val="26"/>
          <w14:ligatures w14:val="none"/>
        </w:rPr>
      </w:pPr>
      <w:r>
        <w:rPr>
          <w:color w:val="auto"/>
          <w:sz w:val="26"/>
          <w:szCs w:val="26"/>
        </w:rPr>
        <w:t xml:space="preserve">2) по телефону –  в МФЦ;</w:t>
      </w:r>
      <w:r>
        <w:rPr>
          <w:color w:val="auto"/>
          <w:sz w:val="26"/>
          <w:szCs w:val="26"/>
        </w:rPr>
      </w:r>
      <w:r/>
    </w:p>
    <w:p>
      <w:pPr>
        <w:pStyle w:val="964"/>
        <w:rPr>
          <w:color w:val="auto"/>
          <w:sz w:val="26"/>
          <w:szCs w:val="26"/>
          <w14:ligatures w14:val="none"/>
        </w:rPr>
      </w:pPr>
      <w:r>
        <w:rPr>
          <w:color w:val="auto"/>
          <w:sz w:val="26"/>
          <w:szCs w:val="26"/>
        </w:rPr>
        <w:t xml:space="preserve">Для записи заявитель выбирает любые свободные для приема дату и время в пределах установленного в МФЦ графика приема заявителей</w:t>
      </w:r>
      <w:r>
        <w:rPr>
          <w:color w:val="auto"/>
          <w:sz w:val="26"/>
          <w:szCs w:val="26"/>
        </w:rPr>
        <w:t xml:space="preserve">.</w:t>
      </w:r>
      <w:r>
        <w:rPr>
          <w:color w:val="auto"/>
          <w:sz w:val="26"/>
          <w:szCs w:val="26"/>
        </w:rPr>
        <w:t xml:space="preserve">»;</w:t>
      </w:r>
      <w:r>
        <w:rPr>
          <w:color w:val="auto"/>
          <w:sz w:val="26"/>
          <w:szCs w:val="26"/>
        </w:rPr>
      </w:r>
      <w:r/>
    </w:p>
    <w:p>
      <w:pPr>
        <w:pStyle w:val="964"/>
        <w:numPr>
          <w:ilvl w:val="0"/>
          <w:numId w:val="0"/>
        </w:numPr>
        <w:ind w:left="0" w:right="0" w:firstLine="567"/>
        <w:rPr>
          <w:color w:val="auto"/>
          <w:sz w:val="26"/>
          <w:szCs w:val="26"/>
          <w:highlight w:val="none"/>
          <w14:ligatures w14:val="none"/>
        </w:rPr>
      </w:pPr>
      <w:r>
        <w:rPr>
          <w:color w:val="auto"/>
          <w:sz w:val="26"/>
          <w:szCs w:val="26"/>
        </w:rPr>
        <w:t xml:space="preserve">1.2. В пункте 2.2.1 слова «</w:t>
      </w:r>
      <w:r>
        <w:rPr>
          <w:color w:val="auto"/>
          <w:sz w:val="26"/>
          <w:szCs w:val="26"/>
        </w:rPr>
        <w:t xml:space="preserve">Администрации/Организации,</w:t>
      </w:r>
      <w:r>
        <w:rPr>
          <w:color w:val="auto"/>
          <w:sz w:val="26"/>
          <w:szCs w:val="26"/>
        </w:rPr>
        <w:t xml:space="preserve">» исключить;</w:t>
      </w:r>
      <w:r>
        <w:rPr>
          <w:color w:val="auto"/>
          <w:sz w:val="26"/>
          <w:szCs w:val="26"/>
        </w:rPr>
      </w:r>
      <w:r/>
    </w:p>
    <w:p>
      <w:pPr>
        <w:pStyle w:val="964"/>
        <w:numPr>
          <w:ilvl w:val="0"/>
          <w:numId w:val="0"/>
        </w:numPr>
        <w:ind w:left="0" w:right="0" w:firstLine="567"/>
        <w:rPr>
          <w:color w:val="auto"/>
          <w:sz w:val="26"/>
          <w:szCs w:val="26"/>
          <w14:ligatures w14:val="none"/>
        </w:rPr>
      </w:pPr>
      <w:r>
        <w:rPr>
          <w:color w:val="auto"/>
          <w:sz w:val="26"/>
          <w:szCs w:val="26"/>
          <w:highlight w:val="none"/>
        </w:rPr>
        <w:t xml:space="preserve">1.3. В пункте 2.3 слова «в Администрацию» исключить;</w:t>
      </w:r>
      <w:r>
        <w:rPr>
          <w:color w:val="auto"/>
          <w:sz w:val="26"/>
          <w:szCs w:val="26"/>
          <w:highlight w:val="none"/>
        </w:rPr>
      </w:r>
      <w:r/>
    </w:p>
    <w:p>
      <w:pPr>
        <w:pStyle w:val="964"/>
        <w:rPr>
          <w:color w:val="auto"/>
          <w:sz w:val="26"/>
          <w:szCs w:val="26"/>
          <w:highlight w:val="none"/>
          <w14:ligatures w14:val="none"/>
        </w:rPr>
      </w:pPr>
      <w:r>
        <w:rPr>
          <w:color w:val="auto"/>
          <w:sz w:val="26"/>
          <w:szCs w:val="26"/>
          <w:highlight w:val="none"/>
        </w:rPr>
      </w:r>
      <w:r>
        <w:rPr>
          <w:color w:val="auto"/>
          <w:sz w:val="26"/>
          <w:szCs w:val="26"/>
          <w:highlight w:val="none"/>
        </w:rPr>
        <w:t xml:space="preserve">1.4. Второй абзац пункта 2.13 исключить;</w:t>
      </w:r>
      <w:r>
        <w:rPr>
          <w:color w:val="auto"/>
          <w:sz w:val="26"/>
          <w:szCs w:val="26"/>
        </w:rPr>
      </w:r>
      <w:r/>
    </w:p>
    <w:p>
      <w:pPr>
        <w:pStyle w:val="964"/>
        <w:rPr>
          <w:color w:val="auto"/>
          <w:sz w:val="26"/>
          <w:szCs w:val="26"/>
          <w:highlight w:val="none"/>
          <w14:ligatures w14:val="none"/>
        </w:rPr>
      </w:pPr>
      <w:r>
        <w:rPr>
          <w:color w:val="auto"/>
          <w:sz w:val="26"/>
          <w:szCs w:val="26"/>
          <w:highlight w:val="none"/>
        </w:rPr>
        <w:t xml:space="preserve">1.5. Пункт 3.1.2.2 изложить в новой редакции </w:t>
      </w:r>
      <w:r>
        <w:rPr>
          <w:color w:val="auto"/>
          <w:sz w:val="27"/>
          <w:szCs w:val="27"/>
          <w:highlight w:val="none"/>
        </w:rPr>
        <w:t xml:space="preserve">следующего </w:t>
      </w:r>
      <w:r>
        <w:rPr>
          <w:color w:val="auto"/>
          <w:sz w:val="26"/>
          <w:szCs w:val="26"/>
          <w:highlight w:val="none"/>
        </w:rPr>
        <w:t xml:space="preserve">содержания:</w:t>
      </w:r>
      <w:r>
        <w:rPr>
          <w:color w:val="auto"/>
          <w:sz w:val="26"/>
          <w:szCs w:val="26"/>
          <w:highlight w:val="none"/>
        </w:rPr>
      </w:r>
      <w:r/>
    </w:p>
    <w:p>
      <w:pPr>
        <w:pStyle w:val="964"/>
        <w:rPr>
          <w:color w:val="auto"/>
          <w:sz w:val="26"/>
          <w:szCs w:val="26"/>
          <w:highlight w:val="none"/>
          <w14:ligatures w14:val="none"/>
        </w:rPr>
      </w:pPr>
      <w:r>
        <w:rPr>
          <w:color w:val="auto"/>
          <w:sz w:val="26"/>
          <w:szCs w:val="26"/>
          <w:highlight w:val="none"/>
        </w:rPr>
        <w:t xml:space="preserve">«</w:t>
      </w:r>
      <w:r>
        <w:rPr>
          <w:color w:val="auto"/>
          <w:sz w:val="26"/>
          <w:szCs w:val="26"/>
        </w:rPr>
        <w:t xml:space="preserve">3.1.2.2. Содержание административного действия, продо</w:t>
      </w:r>
      <w:r>
        <w:rPr>
          <w:color w:val="auto"/>
          <w:sz w:val="26"/>
          <w:szCs w:val="26"/>
        </w:rPr>
        <w:t xml:space="preserve">лжительность и(или) максимальный срок его выполнения: работник Администрации, ответственный за делопроизводство, принимает представленные (направленные) заявителем заявление и документы и в случае отсутствия установленных пунктом 2.9 регламента оснований д</w:t>
      </w:r>
      <w:r>
        <w:rPr>
          <w:color w:val="auto"/>
          <w:sz w:val="26"/>
          <w:szCs w:val="26"/>
        </w:rPr>
        <w:t xml:space="preserve">ля отказа в приеме перенаправляет их работнику Администрации, ответственному за рассмотрение документов и формирование проекта решения, в соответствии с правилами делопроизводства, установленными в Администрации, в течение не более 1 (одного) рабочего дня.</w:t>
      </w:r>
      <w:r>
        <w:rPr>
          <w:color w:val="auto"/>
          <w:sz w:val="26"/>
          <w:szCs w:val="26"/>
          <w:highlight w:val="none"/>
        </w:rPr>
        <w:t xml:space="preserve">»;</w:t>
      </w:r>
      <w:r>
        <w:rPr>
          <w:color w:val="auto"/>
          <w:sz w:val="26"/>
          <w:szCs w:val="26"/>
          <w:highlight w:val="none"/>
        </w:rPr>
      </w:r>
      <w:r/>
    </w:p>
    <w:p>
      <w:pPr>
        <w:pStyle w:val="964"/>
        <w:rPr>
          <w:color w:val="auto"/>
          <w:sz w:val="26"/>
          <w:szCs w:val="26"/>
          <w14:ligatures w14:val="none"/>
        </w:rPr>
      </w:pPr>
      <w:r>
        <w:rPr>
          <w:color w:val="auto"/>
          <w:sz w:val="26"/>
          <w:szCs w:val="26"/>
          <w:highlight w:val="none"/>
        </w:rPr>
        <w:t xml:space="preserve">1.6. В приложении 1 к административному регламенту слова «выдать на руки </w:t>
      </w:r>
      <w:r>
        <w:rPr>
          <w:color w:val="auto"/>
          <w:sz w:val="26"/>
          <w:szCs w:val="26"/>
        </w:rPr>
        <w:t xml:space="preserve">при личной явке в Администрацию</w:t>
      </w:r>
      <w:r>
        <w:rPr>
          <w:color w:val="auto"/>
          <w:sz w:val="26"/>
          <w:szCs w:val="26"/>
          <w:highlight w:val="none"/>
        </w:rPr>
        <w:t xml:space="preserve">» исключить.</w:t>
      </w:r>
      <w:r>
        <w:rPr>
          <w:color w:val="auto"/>
          <w:sz w:val="26"/>
          <w:szCs w:val="26"/>
        </w:rPr>
      </w:r>
      <w:r/>
    </w:p>
    <w:p>
      <w:pPr>
        <w:pStyle w:val="96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</w:t>
      </w:r>
      <w:r>
        <w:rPr>
          <w:color w:val="auto"/>
          <w:sz w:val="26"/>
          <w:szCs w:val="26"/>
        </w:rPr>
        <w:t xml:space="preserve">.  Опубликовать  постановление в официальном приложении к газете «Знамя труда» и разместить на официальном сайте администрации муниципального образования Сланцевский муниципальный район Ленинградской области.</w:t>
      </w:r>
      <w:r>
        <w:rPr>
          <w:color w:val="auto"/>
          <w:sz w:val="26"/>
          <w:szCs w:val="26"/>
        </w:rPr>
      </w:r>
      <w:r/>
    </w:p>
    <w:p>
      <w:pPr>
        <w:pStyle w:val="96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</w:t>
      </w:r>
      <w:r>
        <w:rPr>
          <w:color w:val="auto"/>
          <w:sz w:val="26"/>
          <w:szCs w:val="26"/>
        </w:rPr>
        <w:t xml:space="preserve">. Постановление вступает в силу на следующий день после дня опубликования в официальном приложении к газете «Знамя труда».</w:t>
      </w:r>
      <w:r>
        <w:rPr>
          <w:color w:val="auto"/>
          <w:sz w:val="26"/>
          <w:szCs w:val="26"/>
        </w:rPr>
      </w:r>
      <w:r/>
    </w:p>
    <w:p>
      <w:pPr>
        <w:pStyle w:val="964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4</w:t>
      </w:r>
      <w:r>
        <w:rPr>
          <w:color w:val="auto"/>
          <w:sz w:val="26"/>
          <w:szCs w:val="26"/>
        </w:rPr>
        <w:t xml:space="preserve">. </w:t>
      </w:r>
      <w:r>
        <w:rPr>
          <w:color w:val="auto"/>
          <w:sz w:val="26"/>
          <w:szCs w:val="26"/>
        </w:rPr>
        <w:t xml:space="preserve">Контроль за исполнением возложить на заместите</w:t>
      </w:r>
      <w:r>
        <w:rPr>
          <w:sz w:val="26"/>
          <w:szCs w:val="26"/>
        </w:rPr>
        <w:t xml:space="preserve">ля главы администрации - председателя комитета финансов Павлову Ю.В.</w:t>
      </w:r>
      <w:r>
        <w:rPr>
          <w:sz w:val="26"/>
          <w:szCs w:val="26"/>
        </w:rPr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613"/>
        <w:gridCol w:w="301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13" w:type="dxa"/>
            <w:vAlign w:val="bottom"/>
            <w:textDirection w:val="lrTb"/>
            <w:noWrap w:val="false"/>
          </w:tcPr>
          <w:p>
            <w:pPr>
              <w:pStyle w:val="9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</w:t>
            </w:r>
            <w:r>
              <w:rPr>
                <w:sz w:val="26"/>
                <w:szCs w:val="26"/>
              </w:rPr>
              <w:t xml:space="preserve">лав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 администрации                                     муниципального образования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13" w:type="dxa"/>
            <w:vAlign w:val="bottom"/>
            <w:textDirection w:val="lrTb"/>
            <w:noWrap w:val="false"/>
          </w:tcPr>
          <w:p>
            <w:pPr>
              <w:pStyle w:val="9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М.Б. Чистова</w:t>
            </w:r>
            <w:r>
              <w:rPr>
                <w:sz w:val="26"/>
                <w:szCs w:val="26"/>
              </w:rPr>
            </w:r>
            <w:r/>
          </w:p>
        </w:tc>
      </w:tr>
    </w:tbl>
    <w:p>
      <w:pPr>
        <w:pStyle w:val="964"/>
        <w:ind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276" w:right="566" w:bottom="1418" w:left="1701" w:header="283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imSun">
    <w:panose1 w:val="02010600030101010101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Lucida Sans Unicode">
    <w:panose1 w:val="020B0602030504020204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97"/>
      <w:isLgl w:val="false"/>
      <w:suff w:val="nothing"/>
      <w:lvlText w:val=""/>
      <w:lvlJc w:val="left"/>
      <w:pPr>
        <w:pStyle w:val="896"/>
        <w:ind w:left="432" w:hanging="432"/>
        <w:tabs>
          <w:tab w:val="num" w:pos="0" w:leader="none"/>
        </w:tabs>
      </w:pPr>
    </w:lvl>
    <w:lvl w:ilvl="1">
      <w:start w:val="1"/>
      <w:numFmt w:val="decimal"/>
      <w:pStyle w:val="898"/>
      <w:isLgl w:val="false"/>
      <w:suff w:val="nothing"/>
      <w:lvlText w:val=""/>
      <w:lvlJc w:val="left"/>
      <w:pPr>
        <w:pStyle w:val="896"/>
        <w:ind w:left="576" w:hanging="576"/>
        <w:tabs>
          <w:tab w:val="num" w:pos="0" w:leader="none"/>
        </w:tabs>
      </w:pPr>
    </w:lvl>
    <w:lvl w:ilvl="2">
      <w:start w:val="1"/>
      <w:numFmt w:val="decimal"/>
      <w:pStyle w:val="899"/>
      <w:isLgl w:val="false"/>
      <w:suff w:val="nothing"/>
      <w:lvlText w:val=""/>
      <w:lvlJc w:val="left"/>
      <w:pPr>
        <w:pStyle w:val="896"/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96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96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96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96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96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96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pStyle w:val="972"/>
      <w:isLgl w:val="false"/>
      <w:suff w:val="tab"/>
      <w:lvlText w:val="%1."/>
      <w:lvlJc w:val="left"/>
      <w:pPr>
        <w:pStyle w:val="896"/>
        <w:ind w:left="283" w:hanging="283"/>
        <w:tabs>
          <w:tab w:val="num" w:pos="283" w:leader="none"/>
        </w:tabs>
      </w:pPr>
      <w:rPr>
        <w:rFonts w:ascii="Times New Roman" w:hAnsi="Times New Roman" w:eastAsia="Calibri" w:cs="Times New Roman"/>
        <w:sz w:val="26"/>
        <w:szCs w:val="26"/>
        <w:lang w:eastAsia="en-US"/>
      </w:rPr>
    </w:lvl>
    <w:lvl w:ilvl="1">
      <w:start w:val="1"/>
      <w:numFmt w:val="decimal"/>
      <w:isLgl w:val="false"/>
      <w:suff w:val="tab"/>
      <w:lvlText w:val="%2."/>
      <w:lvlJc w:val="left"/>
      <w:pPr>
        <w:pStyle w:val="896"/>
        <w:ind w:left="567" w:hanging="283"/>
        <w:tabs>
          <w:tab w:val="num" w:pos="567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896"/>
        <w:ind w:left="850" w:hanging="283"/>
        <w:tabs>
          <w:tab w:val="num" w:pos="85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1134" w:hanging="283"/>
        <w:tabs>
          <w:tab w:val="num" w:pos="1134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96"/>
        <w:ind w:left="1417" w:hanging="283"/>
        <w:tabs>
          <w:tab w:val="num" w:pos="1417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96"/>
        <w:ind w:left="1701" w:hanging="283"/>
        <w:tabs>
          <w:tab w:val="num" w:pos="170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1984" w:hanging="283"/>
        <w:tabs>
          <w:tab w:val="num" w:pos="1984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96"/>
        <w:ind w:left="2268" w:hanging="283"/>
        <w:tabs>
          <w:tab w:val="num" w:pos="226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96"/>
        <w:ind w:left="2551" w:hanging="283"/>
        <w:tabs>
          <w:tab w:val="num" w:pos="2551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6"/>
        <w:ind w:left="1429" w:hanging="360"/>
        <w:tabs>
          <w:tab w:val="num" w:pos="0" w:leader="none"/>
        </w:tabs>
      </w:pPr>
      <w:rPr>
        <w:rFonts w:ascii="Symbol" w:hAnsi="Symbol" w:cs="Symbol"/>
        <w:sz w:val="26"/>
        <w:szCs w:val="2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6"/>
        <w:ind w:left="1429" w:hanging="360"/>
        <w:tabs>
          <w:tab w:val="num" w:pos="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96"/>
        <w:ind w:left="1429" w:hanging="360"/>
        <w:tabs>
          <w:tab w:val="num" w:pos="0" w:leader="none"/>
        </w:tabs>
      </w:pPr>
      <w:rPr>
        <w:sz w:val="26"/>
        <w:szCs w:val="2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1069" w:hanging="360"/>
        <w:tabs>
          <w:tab w:val="num" w:pos="0" w:leader="none"/>
        </w:tabs>
      </w:pPr>
      <w:rPr>
        <w:rFonts w:ascii="Times New Roman" w:hAnsi="Times New Roman" w:eastAsia="Calibri" w:cs="Times New Roman"/>
        <w:sz w:val="26"/>
        <w:szCs w:val="26"/>
        <w:lang w:eastAsia="en-U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6"/>
        <w:ind w:left="1429" w:hanging="360"/>
        <w:tabs>
          <w:tab w:val="num" w:pos="0" w:leader="none"/>
        </w:tabs>
      </w:pPr>
      <w:rPr>
        <w:rFonts w:ascii="Symbol" w:hAnsi="Symbol" w:cs="Symbol"/>
        <w:sz w:val="26"/>
        <w:szCs w:val="26"/>
        <w:lang w:eastAsia="en-U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6"/>
        <w:ind w:left="1429" w:hanging="360"/>
        <w:tabs>
          <w:tab w:val="num" w:pos="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6"/>
        <w:ind w:left="2149" w:hanging="360"/>
        <w:tabs>
          <w:tab w:val="num" w:pos="0" w:leader="none"/>
        </w:tabs>
      </w:pPr>
      <w:rPr>
        <w:rFonts w:ascii="Symbol" w:hAnsi="Symbol" w:cs="Symbol"/>
        <w:sz w:val="26"/>
        <w:szCs w:val="26"/>
        <w:lang w:val="en-U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6"/>
        <w:ind w:left="1429" w:hanging="360"/>
        <w:tabs>
          <w:tab w:val="num" w:pos="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6"/>
        <w:ind w:left="1260" w:hanging="360"/>
        <w:tabs>
          <w:tab w:val="num" w:pos="0" w:leader="none"/>
        </w:tabs>
      </w:pPr>
      <w:rPr>
        <w:rFonts w:ascii="Symbol" w:hAnsi="Symbol" w:cs="Symbol"/>
        <w:sz w:val="26"/>
        <w:szCs w:val="2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pPr>
      <w:widowControl w:val="off"/>
    </w:pPr>
    <w:rPr>
      <w:rFonts w:eastAsia="Lucida Sans Unicode" w:cs="Mangal"/>
      <w:sz w:val="24"/>
      <w:szCs w:val="24"/>
      <w:lang w:val="ru-RU" w:eastAsia="hi-IN" w:bidi="hi-IN"/>
    </w:rPr>
  </w:style>
  <w:style w:type="paragraph" w:styleId="897">
    <w:name w:val="Заголовок 1"/>
    <w:basedOn w:val="963"/>
    <w:next w:val="964"/>
    <w:link w:val="896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898">
    <w:name w:val="Заголовок 2"/>
    <w:basedOn w:val="963"/>
    <w:next w:val="964"/>
    <w:link w:val="896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899">
    <w:name w:val="Заголовок 3"/>
    <w:basedOn w:val="963"/>
    <w:next w:val="964"/>
    <w:link w:val="896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styleId="900">
    <w:name w:val="Основной шрифт абзаца"/>
    <w:next w:val="900"/>
    <w:link w:val="896"/>
    <w:uiPriority w:val="1"/>
    <w:semiHidden/>
    <w:unhideWhenUsed/>
  </w:style>
  <w:style w:type="table" w:styleId="901">
    <w:name w:val="Обычная таблица"/>
    <w:next w:val="901"/>
    <w:link w:val="896"/>
    <w:uiPriority w:val="99"/>
    <w:semiHidden/>
    <w:unhideWhenUsed/>
    <w:tblPr/>
  </w:style>
  <w:style w:type="numbering" w:styleId="902">
    <w:name w:val="Нет списка"/>
    <w:next w:val="902"/>
    <w:link w:val="896"/>
    <w:uiPriority w:val="99"/>
    <w:semiHidden/>
    <w:unhideWhenUsed/>
  </w:style>
  <w:style w:type="character" w:styleId="903">
    <w:name w:val="WW8Num1z0"/>
    <w:next w:val="903"/>
    <w:link w:val="896"/>
  </w:style>
  <w:style w:type="character" w:styleId="904">
    <w:name w:val="WW8Num1z1"/>
    <w:next w:val="904"/>
    <w:link w:val="896"/>
  </w:style>
  <w:style w:type="character" w:styleId="905">
    <w:name w:val="WW8Num1z2"/>
    <w:next w:val="905"/>
    <w:link w:val="896"/>
  </w:style>
  <w:style w:type="character" w:styleId="906">
    <w:name w:val="WW8Num1z3"/>
    <w:next w:val="906"/>
    <w:link w:val="896"/>
  </w:style>
  <w:style w:type="character" w:styleId="907">
    <w:name w:val="WW8Num1z4"/>
    <w:next w:val="907"/>
    <w:link w:val="896"/>
  </w:style>
  <w:style w:type="character" w:styleId="908">
    <w:name w:val="WW8Num1z5"/>
    <w:next w:val="908"/>
    <w:link w:val="896"/>
  </w:style>
  <w:style w:type="character" w:styleId="909">
    <w:name w:val="WW8Num1z6"/>
    <w:next w:val="909"/>
    <w:link w:val="896"/>
  </w:style>
  <w:style w:type="character" w:styleId="910">
    <w:name w:val="WW8Num1z7"/>
    <w:next w:val="910"/>
    <w:link w:val="896"/>
  </w:style>
  <w:style w:type="character" w:styleId="911">
    <w:name w:val="WW8Num1z8"/>
    <w:next w:val="911"/>
    <w:link w:val="896"/>
  </w:style>
  <w:style w:type="character" w:styleId="912">
    <w:name w:val="WW8Num2z0"/>
    <w:next w:val="912"/>
    <w:link w:val="896"/>
    <w:rPr>
      <w:rFonts w:ascii="Times New Roman" w:hAnsi="Times New Roman" w:eastAsia="Calibri" w:cs="Times New Roman"/>
      <w:sz w:val="26"/>
      <w:szCs w:val="26"/>
    </w:rPr>
  </w:style>
  <w:style w:type="character" w:styleId="913">
    <w:name w:val="WW8Num2z1"/>
    <w:next w:val="913"/>
    <w:link w:val="896"/>
    <w:rPr>
      <w:rFonts w:ascii="Times New Roman" w:hAnsi="Times New Roman" w:eastAsia="Times New Roman" w:cs="Times New Roman"/>
    </w:rPr>
  </w:style>
  <w:style w:type="character" w:styleId="914">
    <w:name w:val="WW8Num2z2"/>
    <w:next w:val="914"/>
    <w:link w:val="896"/>
  </w:style>
  <w:style w:type="character" w:styleId="915">
    <w:name w:val="WW8Num2z3"/>
    <w:next w:val="915"/>
    <w:link w:val="896"/>
  </w:style>
  <w:style w:type="character" w:styleId="916">
    <w:name w:val="WW8Num2z4"/>
    <w:next w:val="916"/>
    <w:link w:val="896"/>
  </w:style>
  <w:style w:type="character" w:styleId="917">
    <w:name w:val="WW8Num2z5"/>
    <w:next w:val="917"/>
    <w:link w:val="896"/>
  </w:style>
  <w:style w:type="character" w:styleId="918">
    <w:name w:val="WW8Num2z6"/>
    <w:next w:val="918"/>
    <w:link w:val="896"/>
  </w:style>
  <w:style w:type="character" w:styleId="919">
    <w:name w:val="WW8Num2z7"/>
    <w:next w:val="919"/>
    <w:link w:val="896"/>
  </w:style>
  <w:style w:type="character" w:styleId="920">
    <w:name w:val="WW8Num2z8"/>
    <w:next w:val="920"/>
    <w:link w:val="896"/>
  </w:style>
  <w:style w:type="character" w:styleId="921">
    <w:name w:val="WW8Num3z0"/>
    <w:next w:val="921"/>
    <w:link w:val="896"/>
    <w:rPr>
      <w:rFonts w:ascii="Symbol" w:hAnsi="Symbol" w:cs="Symbol"/>
      <w:sz w:val="26"/>
      <w:szCs w:val="26"/>
    </w:rPr>
  </w:style>
  <w:style w:type="character" w:styleId="922">
    <w:name w:val="WW8Num4z0"/>
    <w:next w:val="922"/>
    <w:link w:val="896"/>
    <w:rPr>
      <w:rFonts w:ascii="Symbol" w:hAnsi="Symbol" w:cs="Symbol"/>
    </w:rPr>
  </w:style>
  <w:style w:type="character" w:styleId="923">
    <w:name w:val="WW8Num5z0"/>
    <w:next w:val="923"/>
    <w:link w:val="896"/>
    <w:rPr>
      <w:sz w:val="26"/>
      <w:szCs w:val="26"/>
    </w:rPr>
  </w:style>
  <w:style w:type="character" w:styleId="924">
    <w:name w:val="WW8Num6z0"/>
    <w:next w:val="924"/>
    <w:link w:val="896"/>
    <w:rPr>
      <w:rFonts w:ascii="Times New Roman" w:hAnsi="Times New Roman" w:eastAsia="Calibri" w:cs="Times New Roman"/>
      <w:sz w:val="26"/>
      <w:szCs w:val="26"/>
    </w:rPr>
  </w:style>
  <w:style w:type="character" w:styleId="925">
    <w:name w:val="WW8Num7z0"/>
    <w:next w:val="925"/>
    <w:link w:val="896"/>
    <w:rPr>
      <w:rFonts w:ascii="Symbol" w:hAnsi="Symbol" w:eastAsia="Calibri" w:cs="Symbol"/>
      <w:sz w:val="26"/>
      <w:szCs w:val="26"/>
    </w:rPr>
  </w:style>
  <w:style w:type="character" w:styleId="926">
    <w:name w:val="WW8Num8z0"/>
    <w:next w:val="926"/>
    <w:link w:val="896"/>
    <w:rPr>
      <w:rFonts w:ascii="Symbol" w:hAnsi="Symbol" w:cs="Symbol"/>
    </w:rPr>
  </w:style>
  <w:style w:type="character" w:styleId="927">
    <w:name w:val="WW8Num9z0"/>
    <w:next w:val="927"/>
    <w:link w:val="896"/>
    <w:rPr>
      <w:rFonts w:ascii="Symbol" w:hAnsi="Symbol" w:cs="Symbol"/>
      <w:sz w:val="26"/>
      <w:szCs w:val="26"/>
      <w:lang w:val="en-US"/>
    </w:rPr>
  </w:style>
  <w:style w:type="character" w:styleId="928">
    <w:name w:val="WW8Num10z0"/>
    <w:next w:val="928"/>
    <w:link w:val="896"/>
    <w:rPr>
      <w:rFonts w:ascii="Symbol" w:hAnsi="Symbol" w:cs="Symbol"/>
    </w:rPr>
  </w:style>
  <w:style w:type="character" w:styleId="929">
    <w:name w:val="WW8Num11z0"/>
    <w:next w:val="929"/>
    <w:link w:val="896"/>
    <w:rPr>
      <w:rFonts w:ascii="Symbol" w:hAnsi="Symbol" w:cs="Symbol"/>
      <w:sz w:val="26"/>
      <w:szCs w:val="26"/>
    </w:rPr>
  </w:style>
  <w:style w:type="character" w:styleId="930">
    <w:name w:val="Символ нумерации"/>
    <w:next w:val="930"/>
    <w:link w:val="896"/>
  </w:style>
  <w:style w:type="character" w:styleId="931">
    <w:name w:val="WW8Num45z0"/>
    <w:next w:val="931"/>
    <w:link w:val="896"/>
    <w:rPr>
      <w:rFonts w:ascii="Symbol" w:hAnsi="Symbol" w:cs="Symbol"/>
      <w:sz w:val="26"/>
      <w:szCs w:val="26"/>
    </w:rPr>
  </w:style>
  <w:style w:type="character" w:styleId="932">
    <w:name w:val="WW8Num45z1"/>
    <w:next w:val="932"/>
    <w:link w:val="896"/>
    <w:rPr>
      <w:rFonts w:ascii="Courier New" w:hAnsi="Courier New" w:cs="Courier New"/>
    </w:rPr>
  </w:style>
  <w:style w:type="character" w:styleId="933">
    <w:name w:val="WW8Num45z2"/>
    <w:next w:val="933"/>
    <w:link w:val="896"/>
    <w:rPr>
      <w:rFonts w:ascii="Wingdings" w:hAnsi="Wingdings" w:cs="Wingdings"/>
    </w:rPr>
  </w:style>
  <w:style w:type="character" w:styleId="934">
    <w:name w:val="Гиперссылка"/>
    <w:next w:val="934"/>
    <w:link w:val="896"/>
    <w:rPr>
      <w:color w:val="000080"/>
      <w:u w:val="single"/>
      <w:lang w:val="en-US" w:eastAsia="en-US" w:bidi="en-US"/>
    </w:rPr>
  </w:style>
  <w:style w:type="character" w:styleId="935">
    <w:name w:val="WW8Num41z0"/>
    <w:next w:val="935"/>
    <w:link w:val="896"/>
    <w:rPr>
      <w:rFonts w:ascii="Symbol" w:hAnsi="Symbol" w:cs="Symbol"/>
    </w:rPr>
  </w:style>
  <w:style w:type="character" w:styleId="936">
    <w:name w:val="WW8Num41z1"/>
    <w:next w:val="936"/>
    <w:link w:val="896"/>
    <w:rPr>
      <w:rFonts w:ascii="Courier New" w:hAnsi="Courier New" w:cs="Courier New"/>
    </w:rPr>
  </w:style>
  <w:style w:type="character" w:styleId="937">
    <w:name w:val="WW8Num41z2"/>
    <w:next w:val="937"/>
    <w:link w:val="896"/>
    <w:rPr>
      <w:rFonts w:ascii="Wingdings" w:hAnsi="Wingdings" w:cs="Wingdings"/>
    </w:rPr>
  </w:style>
  <w:style w:type="character" w:styleId="938">
    <w:name w:val="WW8Num20z0"/>
    <w:next w:val="938"/>
    <w:link w:val="896"/>
    <w:rPr>
      <w:sz w:val="26"/>
      <w:szCs w:val="26"/>
    </w:rPr>
  </w:style>
  <w:style w:type="character" w:styleId="939">
    <w:name w:val="WW8Num20z1"/>
    <w:next w:val="939"/>
    <w:link w:val="896"/>
  </w:style>
  <w:style w:type="character" w:styleId="940">
    <w:name w:val="WW8Num20z2"/>
    <w:next w:val="940"/>
    <w:link w:val="896"/>
  </w:style>
  <w:style w:type="character" w:styleId="941">
    <w:name w:val="WW8Num20z3"/>
    <w:next w:val="941"/>
    <w:link w:val="896"/>
  </w:style>
  <w:style w:type="character" w:styleId="942">
    <w:name w:val="WW8Num20z4"/>
    <w:next w:val="942"/>
    <w:link w:val="896"/>
  </w:style>
  <w:style w:type="character" w:styleId="943">
    <w:name w:val="WW8Num20z5"/>
    <w:next w:val="943"/>
    <w:link w:val="896"/>
  </w:style>
  <w:style w:type="character" w:styleId="944">
    <w:name w:val="WW8Num20z6"/>
    <w:next w:val="944"/>
    <w:link w:val="896"/>
  </w:style>
  <w:style w:type="character" w:styleId="945">
    <w:name w:val="WW8Num20z7"/>
    <w:next w:val="945"/>
    <w:link w:val="896"/>
  </w:style>
  <w:style w:type="character" w:styleId="946">
    <w:name w:val="WW8Num20z8"/>
    <w:next w:val="946"/>
    <w:link w:val="896"/>
  </w:style>
  <w:style w:type="character" w:styleId="947">
    <w:name w:val="WW8Num32z0"/>
    <w:next w:val="947"/>
    <w:link w:val="896"/>
    <w:rPr>
      <w:rFonts w:ascii="Symbol" w:hAnsi="Symbol" w:eastAsia="Calibri" w:cs="Symbol"/>
      <w:sz w:val="26"/>
      <w:szCs w:val="26"/>
    </w:rPr>
  </w:style>
  <w:style w:type="character" w:styleId="948">
    <w:name w:val="WW8Num32z1"/>
    <w:next w:val="948"/>
    <w:link w:val="896"/>
    <w:rPr>
      <w:rFonts w:ascii="Courier New" w:hAnsi="Courier New" w:cs="Courier New"/>
    </w:rPr>
  </w:style>
  <w:style w:type="character" w:styleId="949">
    <w:name w:val="WW8Num32z2"/>
    <w:next w:val="949"/>
    <w:link w:val="896"/>
    <w:rPr>
      <w:rFonts w:ascii="Wingdings" w:hAnsi="Wingdings" w:cs="Wingdings"/>
    </w:rPr>
  </w:style>
  <w:style w:type="character" w:styleId="950">
    <w:name w:val="WW8Num42z0"/>
    <w:next w:val="950"/>
    <w:link w:val="896"/>
    <w:rPr>
      <w:rFonts w:ascii="Symbol" w:hAnsi="Symbol" w:cs="Symbol"/>
    </w:rPr>
  </w:style>
  <w:style w:type="character" w:styleId="951">
    <w:name w:val="WW8Num42z1"/>
    <w:next w:val="951"/>
    <w:link w:val="896"/>
    <w:rPr>
      <w:rFonts w:ascii="Courier New" w:hAnsi="Courier New" w:cs="Courier New"/>
    </w:rPr>
  </w:style>
  <w:style w:type="character" w:styleId="952">
    <w:name w:val="WW8Num42z2"/>
    <w:next w:val="952"/>
    <w:link w:val="896"/>
    <w:rPr>
      <w:rFonts w:ascii="Wingdings" w:hAnsi="Wingdings" w:cs="Wingdings"/>
    </w:rPr>
  </w:style>
  <w:style w:type="character" w:styleId="953">
    <w:name w:val="WW8Num17z0"/>
    <w:next w:val="953"/>
    <w:link w:val="896"/>
    <w:rPr>
      <w:rFonts w:ascii="Symbol" w:hAnsi="Symbol" w:cs="Symbol"/>
      <w:sz w:val="26"/>
      <w:szCs w:val="26"/>
      <w:lang w:val="en-US"/>
    </w:rPr>
  </w:style>
  <w:style w:type="character" w:styleId="954">
    <w:name w:val="WW8Num17z1"/>
    <w:next w:val="954"/>
    <w:link w:val="896"/>
    <w:rPr>
      <w:rFonts w:ascii="Courier New" w:hAnsi="Courier New" w:cs="Courier New"/>
    </w:rPr>
  </w:style>
  <w:style w:type="character" w:styleId="955">
    <w:name w:val="WW8Num17z2"/>
    <w:next w:val="955"/>
    <w:link w:val="896"/>
    <w:rPr>
      <w:rFonts w:ascii="Wingdings" w:hAnsi="Wingdings" w:cs="Wingdings"/>
    </w:rPr>
  </w:style>
  <w:style w:type="character" w:styleId="956">
    <w:name w:val="WW8Num38z0"/>
    <w:next w:val="956"/>
    <w:link w:val="896"/>
    <w:rPr>
      <w:rFonts w:ascii="Symbol" w:hAnsi="Symbol" w:cs="Symbol"/>
    </w:rPr>
  </w:style>
  <w:style w:type="character" w:styleId="957">
    <w:name w:val="WW8Num38z1"/>
    <w:next w:val="957"/>
    <w:link w:val="896"/>
    <w:rPr>
      <w:rFonts w:ascii="Courier New" w:hAnsi="Courier New" w:cs="Courier New"/>
    </w:rPr>
  </w:style>
  <w:style w:type="character" w:styleId="958">
    <w:name w:val="WW8Num38z2"/>
    <w:next w:val="958"/>
    <w:link w:val="896"/>
    <w:rPr>
      <w:rFonts w:ascii="Wingdings" w:hAnsi="Wingdings" w:cs="Wingdings"/>
    </w:rPr>
  </w:style>
  <w:style w:type="character" w:styleId="959">
    <w:name w:val="WW8Num18z0"/>
    <w:next w:val="959"/>
    <w:link w:val="896"/>
    <w:rPr>
      <w:rFonts w:ascii="Symbol" w:hAnsi="Symbol" w:cs="Symbol"/>
      <w:sz w:val="26"/>
      <w:szCs w:val="26"/>
    </w:rPr>
  </w:style>
  <w:style w:type="character" w:styleId="960">
    <w:name w:val="WW8Num18z1"/>
    <w:next w:val="960"/>
    <w:link w:val="896"/>
    <w:rPr>
      <w:rFonts w:ascii="Courier New" w:hAnsi="Courier New" w:cs="Courier New"/>
    </w:rPr>
  </w:style>
  <w:style w:type="character" w:styleId="961">
    <w:name w:val="WW8Num18z2"/>
    <w:next w:val="961"/>
    <w:link w:val="896"/>
    <w:rPr>
      <w:rFonts w:ascii="Wingdings" w:hAnsi="Wingdings" w:cs="Wingdings"/>
    </w:rPr>
  </w:style>
  <w:style w:type="character" w:styleId="962">
    <w:name w:val="WW-Интернет-ссылка"/>
    <w:next w:val="962"/>
    <w:link w:val="896"/>
    <w:rPr>
      <w:color w:val="0000ff"/>
      <w:u w:val="single"/>
    </w:rPr>
  </w:style>
  <w:style w:type="paragraph" w:styleId="963">
    <w:name w:val="Заголовок"/>
    <w:basedOn w:val="896"/>
    <w:next w:val="964"/>
    <w:link w:val="896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964">
    <w:name w:val="Основной текст"/>
    <w:basedOn w:val="896"/>
    <w:next w:val="964"/>
    <w:link w:val="896"/>
    <w:pPr>
      <w:numPr>
        <w:ilvl w:val="0"/>
        <w:numId w:val="0"/>
      </w:numPr>
      <w:ind w:left="0" w:right="0" w:firstLine="567"/>
      <w:jc w:val="both"/>
      <w:spacing w:before="0" w:after="0"/>
      <w:shd w:val="clear" w:color="auto" w:fill="auto"/>
      <w:suppressLineNumbers/>
    </w:pPr>
    <w:rPr>
      <w:sz w:val="28"/>
    </w:rPr>
  </w:style>
  <w:style w:type="paragraph" w:styleId="965">
    <w:name w:val="Список"/>
    <w:basedOn w:val="964"/>
    <w:next w:val="965"/>
    <w:link w:val="896"/>
    <w:rPr>
      <w:rFonts w:cs="Mangal"/>
    </w:rPr>
  </w:style>
  <w:style w:type="paragraph" w:styleId="966">
    <w:name w:val="Название1"/>
    <w:basedOn w:val="896"/>
    <w:next w:val="964"/>
    <w:link w:val="896"/>
    <w:pPr>
      <w:ind w:left="0" w:right="0" w:firstLine="0"/>
      <w:jc w:val="both"/>
      <w:spacing w:before="567" w:after="567"/>
      <w:shd w:val="clear" w:color="auto" w:fill="auto"/>
      <w:suppressLineNumbers/>
    </w:pPr>
    <w:rPr>
      <w:rFonts w:cs="Mangal"/>
      <w:i w:val="0"/>
      <w:iCs/>
      <w:sz w:val="28"/>
      <w:szCs w:val="24"/>
    </w:rPr>
  </w:style>
  <w:style w:type="paragraph" w:styleId="967">
    <w:name w:val="Указатель1"/>
    <w:basedOn w:val="896"/>
    <w:next w:val="967"/>
    <w:link w:val="896"/>
    <w:pPr>
      <w:suppressLineNumbers/>
    </w:pPr>
    <w:rPr>
      <w:rFonts w:cs="Mangal"/>
    </w:rPr>
  </w:style>
  <w:style w:type="paragraph" w:styleId="968">
    <w:name w:val="Подзаголовок"/>
    <w:basedOn w:val="896"/>
    <w:next w:val="964"/>
    <w:link w:val="896"/>
    <w:qFormat/>
    <w:rPr>
      <w:b/>
      <w:szCs w:val="20"/>
    </w:rPr>
  </w:style>
  <w:style w:type="paragraph" w:styleId="969">
    <w:name w:val="Содержимое таблицы"/>
    <w:basedOn w:val="896"/>
    <w:next w:val="969"/>
    <w:link w:val="896"/>
    <w:pPr>
      <w:suppressLineNumbers/>
    </w:pPr>
  </w:style>
  <w:style w:type="paragraph" w:styleId="970">
    <w:name w:val="Заголовок таблицы"/>
    <w:basedOn w:val="969"/>
    <w:next w:val="970"/>
    <w:link w:val="896"/>
    <w:pPr>
      <w:jc w:val="center"/>
      <w:suppressLineNumbers/>
    </w:pPr>
    <w:rPr>
      <w:b/>
      <w:bCs/>
    </w:rPr>
  </w:style>
  <w:style w:type="paragraph" w:styleId="971">
    <w:name w:val="Нижний колонтитул"/>
    <w:basedOn w:val="896"/>
    <w:next w:val="971"/>
    <w:link w:val="896"/>
    <w:pPr>
      <w:tabs>
        <w:tab w:val="center" w:pos="4837" w:leader="none"/>
        <w:tab w:val="right" w:pos="9675" w:leader="none"/>
      </w:tabs>
      <w:suppressLineNumbers/>
    </w:pPr>
  </w:style>
  <w:style w:type="paragraph" w:styleId="972">
    <w:name w:val="Нумерованный список 1"/>
    <w:basedOn w:val="965"/>
    <w:next w:val="972"/>
    <w:link w:val="896"/>
    <w:pPr>
      <w:numPr>
        <w:ilvl w:val="0"/>
        <w:numId w:val="2"/>
      </w:numPr>
      <w:ind w:left="567" w:right="0" w:firstLine="0"/>
      <w:spacing w:before="0" w:after="0"/>
    </w:pPr>
    <w:rPr>
      <w:sz w:val="28"/>
    </w:rPr>
  </w:style>
  <w:style w:type="paragraph" w:styleId="973">
    <w:name w:val="Нумерованный список 31"/>
    <w:basedOn w:val="965"/>
    <w:next w:val="973"/>
    <w:link w:val="896"/>
    <w:pPr>
      <w:ind w:left="1080" w:right="0" w:hanging="360"/>
      <w:spacing w:before="0" w:after="120"/>
    </w:pPr>
  </w:style>
  <w:style w:type="paragraph" w:styleId="974">
    <w:name w:val="Нумерованный список 21"/>
    <w:basedOn w:val="965"/>
    <w:next w:val="974"/>
    <w:link w:val="896"/>
    <w:pPr>
      <w:ind w:left="720" w:right="0" w:hanging="360"/>
      <w:spacing w:before="0" w:after="120"/>
    </w:pPr>
  </w:style>
  <w:style w:type="paragraph" w:styleId="975">
    <w:name w:val="Нумерованный список 41"/>
    <w:basedOn w:val="965"/>
    <w:next w:val="975"/>
    <w:link w:val="896"/>
    <w:pPr>
      <w:ind w:left="1440" w:right="0" w:hanging="360"/>
      <w:spacing w:before="0" w:after="120"/>
    </w:pPr>
  </w:style>
  <w:style w:type="paragraph" w:styleId="976">
    <w:name w:val="Нумерованный список 51"/>
    <w:basedOn w:val="965"/>
    <w:next w:val="976"/>
    <w:link w:val="896"/>
    <w:pPr>
      <w:ind w:left="1800" w:right="0" w:hanging="360"/>
      <w:spacing w:before="0" w:after="120"/>
    </w:pPr>
  </w:style>
  <w:style w:type="paragraph" w:styleId="977">
    <w:name w:val="Обратный отступ"/>
    <w:basedOn w:val="964"/>
    <w:next w:val="977"/>
    <w:link w:val="896"/>
    <w:pPr>
      <w:ind w:left="567" w:right="0" w:hanging="283"/>
      <w:tabs>
        <w:tab w:val="left" w:pos="0" w:leader="none"/>
      </w:tabs>
    </w:pPr>
  </w:style>
  <w:style w:type="paragraph" w:styleId="978">
    <w:name w:val="Верхний колонтитул"/>
    <w:basedOn w:val="896"/>
    <w:next w:val="978"/>
    <w:link w:val="896"/>
    <w:pPr>
      <w:tabs>
        <w:tab w:val="center" w:pos="4819" w:leader="none"/>
        <w:tab w:val="right" w:pos="9638" w:leader="none"/>
      </w:tabs>
      <w:suppressLineNumbers/>
    </w:pPr>
  </w:style>
  <w:style w:type="paragraph" w:styleId="979">
    <w:name w:val="Верхний колонтитул слева"/>
    <w:basedOn w:val="896"/>
    <w:next w:val="979"/>
    <w:link w:val="896"/>
    <w:pPr>
      <w:tabs>
        <w:tab w:val="center" w:pos="4819" w:leader="none"/>
        <w:tab w:val="right" w:pos="9638" w:leader="none"/>
      </w:tabs>
      <w:suppressLineNumbers/>
    </w:pPr>
  </w:style>
  <w:style w:type="paragraph" w:styleId="980">
    <w:name w:val="Подпись"/>
    <w:basedOn w:val="896"/>
    <w:next w:val="980"/>
    <w:link w:val="896"/>
    <w:pPr>
      <w:spacing w:before="1134" w:after="0"/>
      <w:shd w:val="clear" w:color="auto" w:fill="auto"/>
      <w:suppressLineNumbers/>
    </w:pPr>
    <w:rPr>
      <w:sz w:val="28"/>
    </w:rPr>
  </w:style>
  <w:style w:type="paragraph" w:styleId="981">
    <w:name w:val="ConsPlusNormal"/>
    <w:next w:val="981"/>
    <w:link w:val="896"/>
    <w:pPr>
      <w:ind w:firstLine="720"/>
    </w:pPr>
    <w:rPr>
      <w:rFonts w:ascii="Arial" w:hAnsi="Arial" w:cs="Arial"/>
      <w:lang w:val="ru-RU" w:eastAsia="ar-SA" w:bidi="ar-SA"/>
    </w:rPr>
  </w:style>
  <w:style w:type="paragraph" w:styleId="982">
    <w:name w:val="Название"/>
    <w:basedOn w:val="896"/>
    <w:next w:val="968"/>
    <w:link w:val="896"/>
    <w:qFormat/>
    <w:pPr>
      <w:jc w:val="center"/>
    </w:pPr>
    <w:rPr>
      <w:sz w:val="28"/>
      <w:lang w:val="en-US"/>
    </w:rPr>
  </w:style>
  <w:style w:type="paragraph" w:styleId="983">
    <w:name w:val="Абзац списка"/>
    <w:basedOn w:val="896"/>
    <w:next w:val="983"/>
    <w:link w:val="896"/>
    <w:qFormat/>
    <w:pPr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984">
    <w:name w:val="WW-Базовый1"/>
    <w:next w:val="984"/>
    <w:link w:val="896"/>
    <w:pPr>
      <w:widowControl w:val="off"/>
    </w:pPr>
    <w:rPr>
      <w:rFonts w:eastAsia="SimSun" w:cs="Mangal"/>
      <w:color w:val="00000a"/>
      <w:sz w:val="24"/>
      <w:szCs w:val="24"/>
      <w:lang w:val="ru-RU" w:eastAsia="hi-IN" w:bidi="hi-IN"/>
    </w:rPr>
  </w:style>
  <w:style w:type="paragraph" w:styleId="985">
    <w:name w:val="Таблицы (моноширинный)"/>
    <w:basedOn w:val="896"/>
    <w:next w:val="985"/>
    <w:link w:val="896"/>
    <w:pPr>
      <w:widowControl w:val="off"/>
    </w:pPr>
    <w:rPr>
      <w:rFonts w:ascii="Courier New" w:hAnsi="Courier New" w:eastAsia="SimSun" w:cs="Courier New"/>
      <w:color w:val="00000a"/>
      <w:sz w:val="18"/>
      <w:szCs w:val="18"/>
    </w:rPr>
  </w:style>
  <w:style w:type="paragraph" w:styleId="986">
    <w:name w:val="ConsPlusNonformat"/>
    <w:next w:val="986"/>
    <w:link w:val="896"/>
    <w:pPr>
      <w:widowControl w:val="off"/>
    </w:pPr>
    <w:rPr>
      <w:rFonts w:ascii="Courier New" w:hAnsi="Courier New" w:cs="Courier New"/>
      <w:lang w:val="ru-RU" w:eastAsia="ar-SA" w:bidi="ar-SA"/>
    </w:rPr>
  </w:style>
  <w:style w:type="paragraph" w:styleId="987">
    <w:name w:val="ConsPlusCell"/>
    <w:next w:val="987"/>
    <w:link w:val="896"/>
    <w:pPr>
      <w:widowControl w:val="off"/>
    </w:pPr>
    <w:rPr>
      <w:rFonts w:ascii="Calibri" w:hAnsi="Calibri" w:cs="Calibri"/>
      <w:color w:val="00000a"/>
      <w:sz w:val="22"/>
      <w:szCs w:val="22"/>
      <w:lang w:val="ru-RU" w:eastAsia="ar-SA" w:bidi="ar-SA"/>
    </w:rPr>
  </w:style>
  <w:style w:type="paragraph" w:styleId="988">
    <w:name w:val="ConsNormal"/>
    <w:next w:val="988"/>
    <w:link w:val="896"/>
    <w:pPr>
      <w:ind w:firstLine="720"/>
      <w:widowControl w:val="off"/>
    </w:pPr>
    <w:rPr>
      <w:rFonts w:ascii="Arial" w:hAnsi="Arial" w:cs="Arial"/>
      <w:color w:val="00000a"/>
      <w:lang w:val="ru-RU" w:eastAsia="ar-SA" w:bidi="ar-SA"/>
    </w:rPr>
  </w:style>
  <w:style w:type="paragraph" w:styleId="989">
    <w:name w:val="ConsPlusNonformat1"/>
    <w:next w:val="989"/>
    <w:link w:val="896"/>
    <w:rPr>
      <w:rFonts w:ascii="Courier New" w:hAnsi="Courier New" w:cs="Tahoma"/>
      <w:color w:val="00000a"/>
      <w:szCs w:val="24"/>
      <w:lang w:val="ru-RU" w:eastAsia="hi-IN" w:bidi="hi-IN"/>
    </w:rPr>
  </w:style>
  <w:style w:type="paragraph" w:styleId="990">
    <w:name w:val="ConsPlusNormal1"/>
    <w:next w:val="990"/>
    <w:link w:val="896"/>
    <w:rPr>
      <w:rFonts w:ascii="Arial" w:hAnsi="Arial" w:cs="Tahoma"/>
      <w:color w:val="00000a"/>
      <w:szCs w:val="24"/>
      <w:lang w:val="ru-RU" w:eastAsia="hi-IN" w:bidi="hi-IN"/>
    </w:rPr>
  </w:style>
  <w:style w:type="paragraph" w:styleId="991">
    <w:name w:val="ConsPlusCell1"/>
    <w:next w:val="991"/>
    <w:link w:val="896"/>
    <w:rPr>
      <w:rFonts w:ascii="Arial" w:hAnsi="Arial" w:cs="Tahoma"/>
      <w:color w:val="00000a"/>
      <w:szCs w:val="24"/>
      <w:lang w:val="ru-RU" w:eastAsia="hi-IN" w:bidi="hi-IN"/>
    </w:rPr>
  </w:style>
  <w:style w:type="paragraph" w:styleId="992">
    <w:name w:val="Стандартный HTML"/>
    <w:basedOn w:val="896"/>
    <w:next w:val="992"/>
    <w:link w:val="896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SimSun" w:cs="Courier New"/>
      <w:sz w:val="20"/>
      <w:szCs w:val="20"/>
      <w:lang w:val="en-US"/>
    </w:rPr>
  </w:style>
  <w:style w:type="paragraph" w:styleId="993">
    <w:name w:val="Содержимое врезки"/>
    <w:basedOn w:val="964"/>
    <w:next w:val="993"/>
    <w:link w:val="896"/>
  </w:style>
  <w:style w:type="paragraph" w:styleId="994">
    <w:name w:val="WW-ConsPlusNormal"/>
    <w:next w:val="994"/>
    <w:link w:val="896"/>
    <w:pPr>
      <w:ind w:firstLine="720"/>
      <w:widowControl w:val="off"/>
    </w:pPr>
    <w:rPr>
      <w:rFonts w:ascii="Arial" w:hAnsi="Arial" w:cs="Arial"/>
      <w:color w:val="00000a"/>
      <w:lang w:val="ru-RU" w:eastAsia="ar-SA" w:bidi="ar-SA"/>
    </w:rPr>
  </w:style>
  <w:style w:type="paragraph" w:styleId="995">
    <w:name w:val="WW-ConsPlusNonformat"/>
    <w:next w:val="995"/>
    <w:link w:val="896"/>
    <w:pPr>
      <w:widowControl w:val="off"/>
    </w:pPr>
    <w:rPr>
      <w:rFonts w:ascii="Courier New" w:hAnsi="Courier New" w:eastAsia="Arial" w:cs="Courier New"/>
      <w:lang w:val="ru-RU" w:eastAsia="ar-SA" w:bidi="ar-SA"/>
    </w:rPr>
  </w:style>
  <w:style w:type="paragraph" w:styleId="996">
    <w:name w:val="ConsPlusTitle"/>
    <w:next w:val="996"/>
    <w:link w:val="896"/>
    <w:pPr>
      <w:widowControl w:val="off"/>
    </w:pPr>
    <w:rPr>
      <w:rFonts w:ascii="Arial" w:hAnsi="Arial" w:cs="Arial"/>
      <w:b/>
      <w:bCs/>
      <w:lang w:val="ru-RU" w:eastAsia="ar-SA" w:bidi="ar-SA"/>
    </w:rPr>
  </w:style>
  <w:style w:type="character" w:styleId="997" w:default="1">
    <w:name w:val="Default Paragraph Font"/>
    <w:uiPriority w:val="1"/>
    <w:semiHidden/>
    <w:unhideWhenUsed/>
  </w:style>
  <w:style w:type="numbering" w:styleId="998" w:default="1">
    <w:name w:val="No List"/>
    <w:uiPriority w:val="99"/>
    <w:semiHidden/>
    <w:unhideWhenUsed/>
  </w:style>
  <w:style w:type="table" w:styleId="9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cp:revision>75</cp:revision>
  <dcterms:created xsi:type="dcterms:W3CDTF">2019-07-02T12:11:00Z</dcterms:created>
  <dcterms:modified xsi:type="dcterms:W3CDTF">2023-08-04T06:47:41Z</dcterms:modified>
  <cp:version>786432</cp:version>
</cp:coreProperties>
</file>