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Пояснительная записка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отчету о реализации муниципальной программы «Развитие культуры, спорта и молодежной политики на территории Сланцевского городского поселения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20</w:t>
      </w:r>
      <w:r>
        <w:rPr>
          <w:rFonts w:ascii="Times New Roman" w:hAnsi="Times New Roman"/>
          <w:sz w:val="24"/>
        </w:rPr>
        <w:t xml:space="preserve">20</w:t>
      </w:r>
      <w:r>
        <w:rPr>
          <w:rFonts w:ascii="Times New Roman" w:hAnsi="Times New Roman"/>
          <w:sz w:val="24"/>
        </w:rPr>
        <w:t xml:space="preserve"> – 20</w:t>
      </w:r>
      <w:r>
        <w:rPr>
          <w:rFonts w:ascii="Times New Roman" w:hAnsi="Times New Roman"/>
          <w:sz w:val="24"/>
        </w:rPr>
        <w:t xml:space="preserve">26 годы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утвержденной постановлением администрации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 xml:space="preserve">30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  <w:t xml:space="preserve">10</w:t>
      </w:r>
      <w:r>
        <w:rPr>
          <w:rFonts w:ascii="Times New Roman" w:hAnsi="Times New Roman"/>
          <w:color w:val="000000"/>
          <w:sz w:val="24"/>
        </w:rPr>
        <w:t xml:space="preserve">.201</w:t>
      </w:r>
      <w:r>
        <w:rPr>
          <w:rFonts w:ascii="Times New Roman" w:hAnsi="Times New Roman"/>
          <w:color w:val="000000"/>
          <w:sz w:val="24"/>
        </w:rPr>
        <w:t xml:space="preserve">9</w:t>
      </w:r>
      <w:r>
        <w:rPr>
          <w:rFonts w:ascii="Times New Roman" w:hAnsi="Times New Roman"/>
          <w:color w:val="000000"/>
          <w:sz w:val="24"/>
        </w:rPr>
        <w:t xml:space="preserve"> г. № </w:t>
      </w:r>
      <w:r>
        <w:rPr>
          <w:rFonts w:ascii="Times New Roman" w:hAnsi="Times New Roman"/>
          <w:color w:val="000000"/>
          <w:sz w:val="24"/>
        </w:rPr>
        <w:t xml:space="preserve">1707</w:t>
      </w:r>
      <w:r>
        <w:rPr>
          <w:rFonts w:ascii="Times New Roman" w:hAnsi="Times New Roman"/>
          <w:color w:val="000000"/>
          <w:sz w:val="24"/>
        </w:rPr>
        <w:t xml:space="preserve">-п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(с последующими изменениями)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</w:t>
      </w:r>
      <w:r>
        <w:rPr>
          <w:rFonts w:ascii="Times New Roman" w:hAnsi="Times New Roman"/>
          <w:sz w:val="24"/>
        </w:rPr>
        <w:t xml:space="preserve">2</w:t>
      </w:r>
      <w:r>
        <w:rPr>
          <w:rFonts w:ascii="Times New Roman" w:hAnsi="Times New Roman"/>
          <w:sz w:val="24"/>
        </w:rPr>
        <w:t xml:space="preserve">3 год</w:t>
      </w: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/>
    </w:p>
    <w:p>
      <w:pPr>
        <w:pStyle w:val="831"/>
        <w:ind w:firstLine="708"/>
        <w:jc w:val="both"/>
        <w:spacing w:before="0" w:after="0"/>
      </w:pPr>
      <w:r>
        <w:t xml:space="preserve">Реализация мероприятий по решению вопросов местного значения в сфере культуры, спорта и молодежной политики осуществлял</w:t>
      </w:r>
      <w:r>
        <w:t xml:space="preserve">а</w:t>
      </w:r>
      <w:r>
        <w:t xml:space="preserve">сь сектором по культуре, спорту и молодежной политике администрации Сланцевского муниципального района в партнерстве с учреждениями культуры города, спортивными общественными объединениями.</w:t>
      </w:r>
      <w:r/>
    </w:p>
    <w:p>
      <w:pPr>
        <w:pStyle w:val="811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Исполнителями программы явля</w:t>
      </w:r>
      <w:r>
        <w:rPr>
          <w:rFonts w:ascii="Times New Roman" w:hAnsi="Times New Roman"/>
          <w:sz w:val="24"/>
        </w:rPr>
        <w:t xml:space="preserve">лись</w:t>
      </w:r>
      <w:r>
        <w:rPr>
          <w:rFonts w:ascii="Times New Roman" w:hAnsi="Times New Roman"/>
          <w:sz w:val="24"/>
        </w:rPr>
        <w:t xml:space="preserve"> муниципальн</w:t>
      </w:r>
      <w:r>
        <w:rPr>
          <w:rFonts w:ascii="Times New Roman" w:hAnsi="Times New Roman"/>
          <w:sz w:val="24"/>
          <w:lang w:val="ru-RU"/>
        </w:rPr>
        <w:t xml:space="preserve">ое</w:t>
      </w:r>
      <w:r>
        <w:rPr>
          <w:rFonts w:ascii="Times New Roman" w:hAnsi="Times New Roman"/>
          <w:sz w:val="24"/>
        </w:rPr>
        <w:t xml:space="preserve"> казенн</w:t>
      </w:r>
      <w:r>
        <w:rPr>
          <w:rFonts w:ascii="Times New Roman" w:hAnsi="Times New Roman"/>
          <w:sz w:val="24"/>
          <w:lang w:val="ru-RU"/>
        </w:rPr>
        <w:t xml:space="preserve">ое</w:t>
      </w:r>
      <w:r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  <w:lang w:val="ru-RU"/>
        </w:rPr>
        <w:t xml:space="preserve">е</w:t>
      </w:r>
      <w:r>
        <w:rPr>
          <w:rFonts w:ascii="Times New Roman" w:hAnsi="Times New Roman"/>
          <w:sz w:val="24"/>
        </w:rPr>
        <w:t xml:space="preserve"> культуры Сланцевского городского поселения </w:t>
      </w:r>
      <w:r>
        <w:rPr>
          <w:rFonts w:ascii="Times New Roman" w:hAnsi="Times New Roman"/>
          <w:sz w:val="24"/>
        </w:rPr>
        <w:t xml:space="preserve">«</w:t>
      </w:r>
      <w:r>
        <w:rPr>
          <w:rFonts w:ascii="Times New Roman" w:hAnsi="Times New Roman"/>
          <w:sz w:val="24"/>
        </w:rPr>
        <w:t xml:space="preserve">Культурно-досуговый центр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в части исполнения переданных Сланцевскому муниципальному району полномочий</w:t>
      </w:r>
      <w:r>
        <w:rPr>
          <w:rFonts w:ascii="Times New Roman" w:hAnsi="Times New Roman"/>
          <w:sz w:val="24"/>
        </w:rPr>
        <w:t xml:space="preserve">: муниципальное казенное учреждение физической культуры и спорта «Физкультурно-оздоровительный комплекс </w:t>
      </w:r>
      <w:r>
        <w:rPr>
          <w:rFonts w:ascii="Times New Roman" w:hAnsi="Times New Roman"/>
          <w:sz w:val="24"/>
          <w:lang w:val="ru-RU"/>
        </w:rPr>
        <w:t xml:space="preserve">Сланцевского муниципального района</w:t>
      </w:r>
      <w:r>
        <w:rPr>
          <w:rFonts w:ascii="Times New Roman" w:hAnsi="Times New Roman"/>
          <w:sz w:val="24"/>
        </w:rPr>
        <w:t xml:space="preserve">», муниципальное казенное учреждение культуры «Сланцевская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межпоселенческая центральная районная библиотека», в партнерстве с образовательными учреждениями, Сланцевским музеем, средствами массовой информации и т.д.</w:t>
      </w:r>
      <w:r/>
    </w:p>
    <w:p>
      <w:pPr>
        <w:pStyle w:val="831"/>
        <w:ind w:firstLine="708"/>
        <w:jc w:val="both"/>
        <w:spacing w:before="0" w:after="0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Решение поставленных в муниципальной Программе задач достигается посредством реализации </w:t>
      </w:r>
      <w:r>
        <w:rPr>
          <w:rFonts w:ascii="Times New Roman" w:hAnsi="Times New Roman"/>
          <w:color w:val="000000"/>
          <w:sz w:val="24"/>
        </w:rPr>
        <w:t xml:space="preserve">комплексов процессных мероприятий</w:t>
      </w:r>
      <w:r>
        <w:rPr>
          <w:rFonts w:ascii="Times New Roman" w:hAnsi="Times New Roman"/>
          <w:color w:val="000000"/>
          <w:sz w:val="24"/>
        </w:rPr>
        <w:t xml:space="preserve">:</w:t>
      </w:r>
      <w:r/>
    </w:p>
    <w:p>
      <w:pPr>
        <w:pStyle w:val="857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«Развитие культуры на территории Сланцевского городского поселения»</w:t>
      </w:r>
      <w:r>
        <w:rPr>
          <w:rFonts w:ascii="Times New Roman" w:hAnsi="Times New Roman"/>
          <w:b/>
          <w:color w:val="000000"/>
          <w:sz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отчетном периоде осуществлялась текущая деятельность муниципальн</w:t>
      </w:r>
      <w:r>
        <w:rPr>
          <w:rFonts w:ascii="Times New Roman" w:hAnsi="Times New Roman"/>
          <w:sz w:val="24"/>
          <w:lang w:val="ru-RU"/>
        </w:rPr>
        <w:t xml:space="preserve">ого</w:t>
      </w:r>
      <w:r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  <w:lang w:val="ru-RU"/>
        </w:rPr>
        <w:t xml:space="preserve">я</w:t>
      </w:r>
      <w:r>
        <w:rPr>
          <w:rFonts w:ascii="Times New Roman" w:hAnsi="Times New Roman"/>
          <w:sz w:val="24"/>
        </w:rPr>
        <w:t xml:space="preserve"> культуры</w:t>
      </w:r>
      <w:r>
        <w:rPr>
          <w:rFonts w:ascii="Times New Roman" w:hAnsi="Times New Roman"/>
          <w:sz w:val="24"/>
          <w:lang w:val="ru-RU"/>
        </w:rPr>
        <w:t xml:space="preserve"> «</w:t>
      </w:r>
      <w:r>
        <w:rPr>
          <w:rFonts w:ascii="Times New Roman" w:hAnsi="Times New Roman"/>
          <w:sz w:val="24"/>
        </w:rPr>
        <w:t xml:space="preserve">Культурно-досугового центр</w:t>
      </w:r>
      <w:r>
        <w:rPr>
          <w:rFonts w:ascii="Times New Roman" w:hAnsi="Times New Roman"/>
          <w:sz w:val="24"/>
          <w:lang w:val="ru-RU"/>
        </w:rPr>
        <w:t xml:space="preserve">»</w:t>
      </w:r>
      <w:r>
        <w:rPr>
          <w:rFonts w:ascii="Times New Roman" w:hAnsi="Times New Roman"/>
          <w:sz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</w:t>
      </w:r>
      <w:r>
        <w:rPr>
          <w:rFonts w:ascii="Times New Roman" w:hAnsi="Times New Roman"/>
          <w:sz w:val="24"/>
        </w:rPr>
        <w:t xml:space="preserve">амках мероприятий осуществлялось библиотечное обслуживания населения Сланцевского городского поселения МКУК «Сланцевская межпоселенческая центральная районная библиотека» (межбюджетный трансферт на осуществление переданных Сланцевскому району полномочий).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Осуществлялись мероприятия по </w:t>
      </w:r>
      <w:r>
        <w:rPr>
          <w:rFonts w:ascii="Times New Roman" w:hAnsi="Times New Roman"/>
          <w:sz w:val="24"/>
        </w:rPr>
        <w:t xml:space="preserve">участию в государственной программе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«Развитие культуры в Ленинградской области</w:t>
      </w:r>
      <w:r>
        <w:rPr>
          <w:rFonts w:ascii="Times New Roman" w:hAnsi="Times New Roman"/>
          <w:sz w:val="24"/>
        </w:rPr>
        <w:t xml:space="preserve">»</w:t>
      </w:r>
      <w:r>
        <w:rPr>
          <w:rFonts w:ascii="Times New Roman" w:hAnsi="Times New Roman"/>
          <w:sz w:val="24"/>
        </w:rPr>
        <w:t xml:space="preserve">. Заключены соглашения на предоставление субсидий из областного бюджета на реализацию следующих направлений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- Обеспечение выплат стимулирующего характера работникам муниципальных учреждений культуры Сланцевского городского поселения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  <w:lang w:val="ru-RU"/>
        </w:rPr>
        <w:t xml:space="preserve">18 055</w:t>
      </w:r>
      <w:r>
        <w:rPr>
          <w:rFonts w:ascii="Times New Roman" w:hAnsi="Times New Roman"/>
          <w:sz w:val="24"/>
          <w:lang w:val="ru-RU"/>
        </w:rPr>
        <w:t xml:space="preserve">,2</w:t>
      </w:r>
      <w:r>
        <w:rPr>
          <w:rFonts w:ascii="Times New Roman" w:hAnsi="Times New Roman"/>
          <w:sz w:val="24"/>
        </w:rPr>
        <w:t xml:space="preserve">тыс. руб.;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</w:rPr>
        <w:t xml:space="preserve">- Реализация социально-культурных проектов (проведение Областного фестиваля «Мастеровая слобода») – 49</w:t>
      </w:r>
      <w:r>
        <w:rPr>
          <w:rFonts w:ascii="Times New Roman" w:hAnsi="Times New Roman"/>
          <w:sz w:val="24"/>
          <w:lang w:val="ru-RU"/>
        </w:rPr>
        <w:t xml:space="preserve">9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z w:val="24"/>
          <w:lang w:val="ru-RU"/>
        </w:rPr>
        <w:t xml:space="preserve">5</w:t>
      </w:r>
      <w:r>
        <w:rPr>
          <w:rFonts w:ascii="Times New Roman" w:hAnsi="Times New Roman"/>
          <w:sz w:val="24"/>
        </w:rPr>
        <w:t xml:space="preserve"> тыс. </w:t>
      </w:r>
      <w:r>
        <w:rPr>
          <w:rFonts w:ascii="Times New Roman" w:hAnsi="Times New Roman"/>
          <w:sz w:val="24"/>
        </w:rPr>
        <w:t xml:space="preserve">руб..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01.0</w:t>
      </w:r>
      <w:r>
        <w:rPr>
          <w:rFonts w:ascii="Times New Roman" w:hAnsi="Times New Roman"/>
          <w:sz w:val="24"/>
          <w:lang w:val="ru-RU"/>
        </w:rPr>
        <w:t xml:space="preserve">1</w:t>
      </w:r>
      <w:r>
        <w:rPr>
          <w:rFonts w:ascii="Times New Roman" w:hAnsi="Times New Roman"/>
          <w:sz w:val="24"/>
        </w:rPr>
        <w:t xml:space="preserve">.202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года осуществляется деятельность  клубных формировани</w:t>
      </w:r>
      <w:r>
        <w:rPr>
          <w:rFonts w:ascii="Times New Roman" w:hAnsi="Times New Roman"/>
          <w:sz w:val="24"/>
        </w:rPr>
        <w:t xml:space="preserve">й в которых з</w:t>
      </w:r>
      <w:r>
        <w:rPr>
          <w:rFonts w:ascii="Times New Roman" w:hAnsi="Times New Roman"/>
          <w:sz w:val="24"/>
        </w:rPr>
        <w:t xml:space="preserve">анимается </w:t>
      </w:r>
      <w:r>
        <w:rPr>
          <w:rFonts w:ascii="Times New Roman" w:hAnsi="Times New Roman"/>
          <w:sz w:val="24"/>
          <w:lang w:val="ru-RU"/>
        </w:rPr>
        <w:t xml:space="preserve">2 190</w:t>
      </w:r>
      <w:r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 xml:space="preserve">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  <w:t xml:space="preserve">Из запланированных </w:t>
      </w:r>
      <w:r>
        <w:rPr>
          <w:rFonts w:ascii="Times New Roman" w:hAnsi="Times New Roman"/>
          <w:sz w:val="24"/>
          <w:lang w:val="ru-RU"/>
        </w:rPr>
        <w:t xml:space="preserve">в 2023 году </w:t>
      </w:r>
      <w:r>
        <w:rPr>
          <w:rFonts w:ascii="Times New Roman" w:hAnsi="Times New Roman"/>
          <w:sz w:val="24"/>
        </w:rPr>
        <w:t xml:space="preserve">мероприятий</w:t>
      </w:r>
      <w:r>
        <w:rPr>
          <w:rFonts w:ascii="Times New Roman" w:hAnsi="Times New Roman"/>
          <w:sz w:val="24"/>
        </w:rPr>
        <w:t xml:space="preserve"> проведены массовые мероприятия: новогодние, рождественские, масленичные гуляния, утренники,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народное гуляние, посвященное 9</w:t>
      </w:r>
      <w:r>
        <w:rPr>
          <w:rFonts w:ascii="Times New Roman" w:hAnsi="Times New Roman"/>
          <w:sz w:val="24"/>
          <w:lang w:val="ru-RU"/>
        </w:rPr>
        <w:t xml:space="preserve">3</w:t>
      </w:r>
      <w:r>
        <w:rPr>
          <w:rFonts w:ascii="Times New Roman" w:hAnsi="Times New Roman"/>
          <w:sz w:val="24"/>
        </w:rPr>
        <w:t xml:space="preserve">-й годовщине образования города Сланцы, Праздник выпускников, праздничный концерт, посвященный Дню защиты детей, Дню молодежи,  Государственные праздники, посвященные Дню Победы, Дню России</w:t>
      </w:r>
      <w:r>
        <w:rPr>
          <w:rFonts w:ascii="Times New Roman" w:hAnsi="Times New Roman"/>
          <w:sz w:val="24"/>
        </w:rPr>
        <w:t xml:space="preserve">, праздничный концерт «Крымская весна», </w:t>
      </w:r>
      <w:r>
        <w:rPr>
          <w:rFonts w:ascii="Times New Roman" w:hAnsi="Times New Roman"/>
          <w:sz w:val="24"/>
        </w:rPr>
        <w:t xml:space="preserve"> мероприятия, посвященные 100-летию </w:t>
      </w:r>
      <w:r>
        <w:rPr>
          <w:rFonts w:ascii="Times New Roman" w:hAnsi="Times New Roman"/>
          <w:sz w:val="24"/>
          <w:lang w:val="ru-RU"/>
        </w:rPr>
        <w:t xml:space="preserve">Министерства спорта</w:t>
      </w:r>
      <w:r>
        <w:rPr>
          <w:rFonts w:ascii="Times New Roman" w:hAnsi="Times New Roman"/>
          <w:sz w:val="24"/>
          <w:lang w:val="ru-RU"/>
        </w:rPr>
        <w:t xml:space="preserve"> и др.</w:t>
      </w:r>
      <w:r>
        <w:rPr>
          <w:rFonts w:ascii="Times New Roman" w:hAnsi="Times New Roman"/>
          <w:sz w:val="24"/>
        </w:rPr>
        <w:t xml:space="preserve"> </w:t>
      </w:r>
      <w:r/>
    </w:p>
    <w:p>
      <w:pPr>
        <w:ind w:firstLine="731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О</w:t>
      </w:r>
      <w:r>
        <w:rPr>
          <w:rFonts w:ascii="Times New Roman" w:hAnsi="Times New Roman"/>
          <w:sz w:val="24"/>
        </w:rPr>
        <w:t xml:space="preserve">существля</w:t>
      </w:r>
      <w:r>
        <w:rPr>
          <w:rFonts w:ascii="Times New Roman" w:hAnsi="Times New Roman"/>
          <w:sz w:val="24"/>
        </w:rPr>
        <w:t xml:space="preserve">лись</w:t>
      </w:r>
      <w:r>
        <w:rPr>
          <w:rFonts w:ascii="Times New Roman" w:hAnsi="Times New Roman"/>
          <w:sz w:val="24"/>
        </w:rPr>
        <w:t xml:space="preserve"> мер</w:t>
      </w:r>
      <w:r>
        <w:rPr>
          <w:rFonts w:ascii="Times New Roman" w:hAnsi="Times New Roman"/>
          <w:sz w:val="24"/>
        </w:rPr>
        <w:t xml:space="preserve">оприятия</w:t>
      </w:r>
      <w:r>
        <w:rPr>
          <w:rFonts w:ascii="Times New Roman" w:hAnsi="Times New Roman"/>
          <w:sz w:val="24"/>
        </w:rPr>
        <w:t xml:space="preserve">, направленны</w:t>
      </w:r>
      <w:r>
        <w:rPr>
          <w:rFonts w:ascii="Times New Roman" w:hAnsi="Times New Roman"/>
          <w:sz w:val="24"/>
        </w:rPr>
        <w:t xml:space="preserve">е</w:t>
      </w:r>
      <w:r>
        <w:rPr>
          <w:rFonts w:ascii="Times New Roman" w:hAnsi="Times New Roman"/>
          <w:sz w:val="24"/>
        </w:rPr>
        <w:t xml:space="preserve"> на создание праздничного настроения населению Сланцевского городского поселения при проведении общегородских мероприятий, посвященных календарным и памятным датам Российской Федерации, Ленинградской области, города Сланцы</w:t>
      </w:r>
      <w:r>
        <w:rPr>
          <w:rFonts w:ascii="Times New Roman" w:hAnsi="Times New Roman"/>
          <w:sz w:val="24"/>
        </w:rPr>
        <w:t xml:space="preserve"> – украшение праздничными баннерами, флагами и другими элементами к 7</w:t>
      </w:r>
      <w:r>
        <w:rPr>
          <w:rFonts w:ascii="Times New Roman" w:hAnsi="Times New Roman"/>
          <w:sz w:val="24"/>
          <w:lang w:val="ru-RU"/>
        </w:rPr>
        <w:t xml:space="preserve">8</w:t>
      </w:r>
      <w:r>
        <w:rPr>
          <w:rFonts w:ascii="Times New Roman" w:hAnsi="Times New Roman"/>
          <w:sz w:val="24"/>
        </w:rPr>
        <w:t xml:space="preserve">-летию Победы в Великой Отечественной войне, новогодним мероприятиям и др.</w:t>
      </w:r>
      <w:r/>
    </w:p>
    <w:p>
      <w:pPr>
        <w:ind w:firstLine="731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color w:val="auto"/>
          <w:sz w:val="24"/>
          <w:lang w:val="ru-RU"/>
        </w:rPr>
        <w:t xml:space="preserve">В</w:t>
      </w:r>
      <w:r>
        <w:rPr>
          <w:rFonts w:ascii="Times New Roman" w:hAnsi="Times New Roman"/>
          <w:color w:val="auto"/>
          <w:sz w:val="24"/>
        </w:rPr>
        <w:t xml:space="preserve"> рамках текущей деятельности для подержания в надлежащем состоянии</w:t>
      </w:r>
      <w:r>
        <w:rPr>
          <w:rFonts w:ascii="Times New Roman" w:hAnsi="Times New Roman"/>
          <w:color w:val="auto"/>
          <w:sz w:val="24"/>
        </w:rPr>
        <w:t xml:space="preserve"> зданий и помещений заключены и исполнены муниципальные контракты на содержание и текущий ремонт, на коммунальные услуги, услуги круглосуточной охраны</w:t>
      </w:r>
      <w:r>
        <w:rPr>
          <w:rFonts w:ascii="Times New Roman" w:hAnsi="Times New Roman"/>
          <w:color w:val="auto"/>
          <w:sz w:val="24"/>
          <w:lang w:val="ru-RU"/>
        </w:rPr>
        <w:t xml:space="preserve"> и др</w:t>
      </w:r>
      <w:r>
        <w:rPr>
          <w:rFonts w:ascii="Times New Roman" w:hAnsi="Times New Roman"/>
          <w:color w:val="auto"/>
          <w:sz w:val="24"/>
        </w:rPr>
        <w:t xml:space="preserve">.  Обновлен инвентарь для пункта проката, выполнен текущий ремонт аттракционной т</w:t>
      </w:r>
      <w:r>
        <w:rPr>
          <w:rFonts w:ascii="Times New Roman" w:hAnsi="Times New Roman"/>
          <w:color w:val="auto"/>
          <w:sz w:val="24"/>
        </w:rPr>
        <w:t xml:space="preserve">ехники. Проведено обучение специализированными образовательными организациями по следующим направлениям: охрана труда, оказание первой медицинской помощи пострадавшим на производстве, безопасность дорожного движения, безопасность эксплуатации аттракционов.</w:t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ind w:firstLine="731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</w:rPr>
        <w:t xml:space="preserve">В рамках мероприятия «Сохранение кадрового потенциала муниципальных учреждений культуры»</w:t>
      </w:r>
      <w:r>
        <w:rPr>
          <w:rFonts w:ascii="Times New Roman" w:hAnsi="Times New Roman"/>
          <w:color w:val="auto"/>
          <w:sz w:val="24"/>
        </w:rPr>
        <w:t xml:space="preserve">  в</w:t>
      </w:r>
      <w:r>
        <w:rPr>
          <w:rFonts w:ascii="Times New Roman" w:hAnsi="Times New Roman"/>
          <w:color w:val="auto"/>
          <w:sz w:val="24"/>
        </w:rPr>
        <w:t xml:space="preserve">ыплачены стимулирующие выплаты сотрудникам учреждения, соблюдены целевые показатели оплаты труда работников в соответствии с Указом Президента Российской Федерации от 7 мая 2012 года № 597 "О мероприятиях по реализации государственной социальной политики".</w:t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ind w:firstLine="731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b w:val="0"/>
          <w:bCs w:val="0"/>
          <w:sz w:val="24"/>
        </w:rPr>
        <w:t xml:space="preserve">В</w:t>
      </w:r>
      <w:r>
        <w:rPr>
          <w:rFonts w:ascii="Times New Roman" w:hAnsi="Times New Roman"/>
          <w:b w:val="0"/>
          <w:bCs w:val="0"/>
          <w:sz w:val="24"/>
        </w:rPr>
        <w:t xml:space="preserve"> рамках мероприятия «Поддержка отрасли культуры»</w:t>
      </w:r>
      <w:r>
        <w:rPr>
          <w:rFonts w:ascii="Times New Roman" w:hAnsi="Times New Roman"/>
          <w:sz w:val="24"/>
          <w:lang w:val="ru-RU"/>
        </w:rPr>
        <w:t xml:space="preserve"> о</w:t>
      </w:r>
      <w:r>
        <w:rPr>
          <w:rFonts w:ascii="Times New Roman" w:hAnsi="Times New Roman"/>
          <w:sz w:val="24"/>
        </w:rPr>
        <w:t xml:space="preserve">рганизован и проведен областной фестиваль фольклора и ремесел «Мас</w:t>
      </w:r>
      <w:r>
        <w:rPr>
          <w:rFonts w:ascii="Times New Roman" w:hAnsi="Times New Roman"/>
          <w:sz w:val="24"/>
        </w:rPr>
        <w:t xml:space="preserve">теровая слобода», в котором приняли участие районы: Сланцевский,  Кингисеппский, Ломоносовский, Всеволожский, г. Сосновый Бор; из Псковской области: Гдовский район, г. Псков и Псковская область; из г. Санкт-Петербург, </w:t>
      </w:r>
      <w:r>
        <w:rPr>
          <w:rFonts w:ascii="Times New Roman" w:hAnsi="Times New Roman"/>
          <w:sz w:val="24"/>
        </w:rPr>
        <w:t xml:space="preserve">поселок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Шушары</w:t>
      </w:r>
      <w:r>
        <w:rPr>
          <w:rFonts w:ascii="Times New Roman" w:hAnsi="Times New Roman"/>
          <w:sz w:val="24"/>
        </w:rPr>
        <w:t xml:space="preserve">, Новая Ижора, г. Пушкин. </w:t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ind w:firstLine="73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pStyle w:val="85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«Развитие молодежной политики на территории Сланцевского городского поселения»</w:t>
      </w:r>
      <w:r>
        <w:rPr>
          <w:rFonts w:ascii="Times New Roman" w:hAnsi="Times New Roman"/>
          <w:b/>
          <w:color w:val="000000"/>
          <w:sz w:val="24"/>
        </w:rPr>
        <w:t xml:space="preserve">.</w:t>
      </w:r>
      <w:r/>
    </w:p>
    <w:p>
      <w:pPr>
        <w:pStyle w:val="857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сфере молодежной политики осуществлялась деятельность молодежного центра структурного подразделения </w:t>
      </w:r>
      <w:r>
        <w:rPr>
          <w:rFonts w:ascii="Times New Roman" w:hAnsi="Times New Roman"/>
          <w:sz w:val="24"/>
        </w:rPr>
        <w:t xml:space="preserve">Культурно-досугового центра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Молодежным центром ведется</w:t>
      </w:r>
      <w:r>
        <w:rPr>
          <w:rFonts w:ascii="Times New Roman" w:hAnsi="Times New Roman"/>
          <w:sz w:val="24"/>
        </w:rPr>
        <w:t xml:space="preserve"> работа по развитию волонтерского движения, в целях активизации которого реализов</w:t>
      </w:r>
      <w:r>
        <w:rPr>
          <w:rFonts w:ascii="Times New Roman" w:hAnsi="Times New Roman"/>
          <w:sz w:val="24"/>
          <w:lang w:val="ru-RU"/>
        </w:rPr>
        <w:t xml:space="preserve">ывается</w:t>
      </w:r>
      <w:r>
        <w:rPr>
          <w:rFonts w:ascii="Times New Roman" w:hAnsi="Times New Roman"/>
          <w:sz w:val="24"/>
        </w:rPr>
        <w:t xml:space="preserve"> проект «Мы вместе» по </w:t>
      </w:r>
      <w:r>
        <w:rPr>
          <w:rFonts w:ascii="Times New Roman" w:hAnsi="Times New Roman"/>
          <w:sz w:val="24"/>
          <w:lang w:val="ru-RU"/>
        </w:rPr>
        <w:t xml:space="preserve">помощи семьям участников СВО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ru-RU"/>
        </w:rPr>
        <w:t xml:space="preserve">К акции присоединился </w:t>
      </w:r>
      <w:r>
        <w:rPr>
          <w:rFonts w:ascii="Times New Roman" w:hAnsi="Times New Roman"/>
          <w:sz w:val="24"/>
          <w:lang w:val="ru-RU"/>
        </w:rPr>
        <w:t xml:space="preserve">61</w:t>
      </w:r>
      <w:r>
        <w:rPr>
          <w:rFonts w:ascii="Times New Roman" w:hAnsi="Times New Roman"/>
          <w:sz w:val="24"/>
        </w:rPr>
        <w:t xml:space="preserve"> волонтер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числе волонтеров, присоединившихся к акции - представители учреждений культуры, образования, спорта и малого бизнеса, а также просто неравнодушные граждане. </w:t>
      </w:r>
      <w:r/>
    </w:p>
    <w:p>
      <w:pPr>
        <w:pStyle w:val="858"/>
        <w:ind w:left="0" w:firstLine="709"/>
        <w:jc w:val="both"/>
      </w:pPr>
      <w:r>
        <w:rPr>
          <w:rFonts w:ascii="Times New Roman" w:hAnsi="Times New Roman"/>
          <w:sz w:val="24"/>
        </w:rPr>
        <w:t xml:space="preserve">В рамках данного мероприятия проводились мероприятий, направленные на вовлечение молодежи в общественную жизнь города, повышение </w:t>
      </w:r>
      <w:r>
        <w:rPr>
          <w:rFonts w:ascii="Times New Roman" w:hAnsi="Times New Roman"/>
          <w:sz w:val="24"/>
        </w:rPr>
        <w:t xml:space="preserve">гражданской активности молодежи, выявление и поддержку талантливой молодежи, поддержку общественных детских и молодежных объединений, волонтерского движения. В этих целях проводились обучающие мероприятия: семинары, форумы, тренинги и т. п. </w:t>
      </w:r>
      <w:r>
        <w:rPr>
          <w:rFonts w:ascii="Times New Roman" w:hAnsi="Times New Roman"/>
          <w:sz w:val="24"/>
          <w:lang w:val="ru-RU"/>
        </w:rPr>
        <w:t xml:space="preserve">Велась</w:t>
      </w:r>
      <w:r>
        <w:rPr>
          <w:rFonts w:ascii="Times New Roman" w:hAnsi="Times New Roman"/>
          <w:sz w:val="24"/>
        </w:rPr>
        <w:t xml:space="preserve"> работа </w:t>
      </w:r>
      <w:r>
        <w:rPr>
          <w:rFonts w:ascii="Times New Roman" w:hAnsi="Times New Roman"/>
          <w:sz w:val="24"/>
        </w:rPr>
        <w:t xml:space="preserve">по  поддержке</w:t>
      </w:r>
      <w:r>
        <w:rPr>
          <w:rFonts w:ascii="Times New Roman" w:hAnsi="Times New Roman"/>
          <w:sz w:val="24"/>
        </w:rPr>
        <w:t xml:space="preserve"> деятельности общественных молодежных объединений, волонтерских движений, в рамках которого проводятся различные молодежные флэшмобы. </w:t>
      </w:r>
      <w:r>
        <w:rPr>
          <w:rFonts w:ascii="Times New Roman" w:hAnsi="Times New Roman"/>
          <w:sz w:val="24"/>
        </w:rPr>
      </w:r>
      <w:r/>
    </w:p>
    <w:p>
      <w:pPr>
        <w:pStyle w:val="858"/>
        <w:ind w:left="0" w:firstLine="709"/>
        <w:jc w:val="both"/>
      </w:pPr>
      <w:r>
        <w:rPr>
          <w:rFonts w:ascii="Times New Roman" w:hAnsi="Times New Roman"/>
          <w:sz w:val="24"/>
        </w:rPr>
        <w:t xml:space="preserve">Молодежным центром </w:t>
      </w:r>
      <w:r>
        <w:rPr>
          <w:rFonts w:ascii="Times New Roman" w:hAnsi="Times New Roman"/>
          <w:sz w:val="24"/>
          <w:lang w:val="ru-RU"/>
        </w:rPr>
        <w:t xml:space="preserve">также </w:t>
      </w:r>
      <w:r>
        <w:rPr>
          <w:rFonts w:ascii="Times New Roman" w:hAnsi="Times New Roman"/>
          <w:sz w:val="24"/>
        </w:rPr>
        <w:t xml:space="preserve">ведется работа по развитию волонтерского движения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 «Волонтеры Побед</w:t>
      </w:r>
      <w:r>
        <w:rPr>
          <w:rFonts w:ascii="Times New Roman" w:hAnsi="Times New Roman"/>
          <w:color w:val="auto"/>
          <w:sz w:val="24"/>
        </w:rPr>
        <w:t xml:space="preserve">ы».</w:t>
      </w:r>
      <w:r/>
      <w:r/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</w:rPr>
      </w:r>
    </w:p>
    <w:p>
      <w:pPr>
        <w:ind w:firstLine="567"/>
        <w:jc w:val="both"/>
        <w:rPr>
          <w:rFonts w:ascii="Times New Roman" w:hAnsi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sz w:val="24"/>
        </w:rPr>
        <w:t xml:space="preserve">В рамках данного</w:t>
      </w:r>
      <w:r>
        <w:rPr>
          <w:rFonts w:ascii="Times New Roman" w:hAnsi="Times New Roman"/>
          <w:sz w:val="24"/>
          <w:lang w:val="ru-RU"/>
        </w:rPr>
        <w:t xml:space="preserve"> направления </w:t>
      </w:r>
      <w:r>
        <w:rPr>
          <w:rFonts w:ascii="Times New Roman" w:hAnsi="Times New Roman"/>
          <w:sz w:val="24"/>
        </w:rPr>
        <w:t xml:space="preserve">создан</w:t>
      </w:r>
      <w:r>
        <w:rPr>
          <w:rFonts w:ascii="Times New Roman" w:hAnsi="Times New Roman"/>
          <w:sz w:val="24"/>
        </w:rPr>
        <w:t xml:space="preserve">ы</w:t>
      </w:r>
      <w:r>
        <w:rPr>
          <w:rFonts w:ascii="Times New Roman" w:hAnsi="Times New Roman"/>
          <w:sz w:val="24"/>
        </w:rPr>
        <w:t xml:space="preserve"> временны</w:t>
      </w:r>
      <w:r>
        <w:rPr>
          <w:rFonts w:ascii="Times New Roman" w:hAnsi="Times New Roman"/>
          <w:sz w:val="24"/>
        </w:rPr>
        <w:t xml:space="preserve">е</w:t>
      </w:r>
      <w:r>
        <w:rPr>
          <w:rFonts w:ascii="Times New Roman" w:hAnsi="Times New Roman"/>
          <w:sz w:val="24"/>
        </w:rPr>
        <w:t xml:space="preserve"> рабочи</w:t>
      </w:r>
      <w:r>
        <w:rPr>
          <w:rFonts w:ascii="Times New Roman" w:hAnsi="Times New Roman"/>
          <w:sz w:val="24"/>
        </w:rPr>
        <w:t xml:space="preserve">е</w:t>
      </w:r>
      <w:r>
        <w:rPr>
          <w:rFonts w:ascii="Times New Roman" w:hAnsi="Times New Roman"/>
          <w:sz w:val="24"/>
        </w:rPr>
        <w:t xml:space="preserve"> мест</w:t>
      </w:r>
      <w:r>
        <w:rPr>
          <w:rFonts w:ascii="Times New Roman" w:hAnsi="Times New Roman"/>
          <w:sz w:val="24"/>
        </w:rPr>
        <w:t xml:space="preserve">а</w:t>
      </w:r>
      <w:r>
        <w:rPr>
          <w:rFonts w:ascii="Times New Roman" w:hAnsi="Times New Roman"/>
          <w:sz w:val="24"/>
        </w:rPr>
        <w:t xml:space="preserve"> для подростков и </w:t>
      </w:r>
      <w:r>
        <w:rPr>
          <w:rFonts w:ascii="Times New Roman" w:hAnsi="Times New Roman"/>
          <w:sz w:val="24"/>
        </w:rPr>
        <w:t xml:space="preserve"> организован </w:t>
      </w:r>
      <w:r>
        <w:rPr>
          <w:rFonts w:ascii="Times New Roman" w:hAnsi="Times New Roman"/>
          <w:sz w:val="24"/>
          <w:lang w:val="ru-RU"/>
        </w:rPr>
        <w:t xml:space="preserve">Губернаторский </w:t>
      </w:r>
      <w:r>
        <w:rPr>
          <w:rFonts w:ascii="Times New Roman" w:hAnsi="Times New Roman"/>
          <w:sz w:val="24"/>
        </w:rPr>
        <w:t xml:space="preserve">молодежны</w:t>
      </w:r>
      <w:r>
        <w:rPr>
          <w:rFonts w:ascii="Times New Roman" w:hAnsi="Times New Roman"/>
          <w:sz w:val="24"/>
          <w:lang w:val="ru-RU"/>
        </w:rPr>
        <w:t xml:space="preserve">й</w:t>
      </w:r>
      <w:r>
        <w:rPr>
          <w:rFonts w:ascii="Times New Roman" w:hAnsi="Times New Roman"/>
          <w:sz w:val="24"/>
        </w:rPr>
        <w:t xml:space="preserve"> трудов</w:t>
      </w:r>
      <w:r>
        <w:rPr>
          <w:rFonts w:ascii="Times New Roman" w:hAnsi="Times New Roman"/>
          <w:sz w:val="24"/>
          <w:lang w:val="ru-RU"/>
        </w:rPr>
        <w:t xml:space="preserve">ой</w:t>
      </w:r>
      <w:r>
        <w:rPr>
          <w:rFonts w:ascii="Times New Roman" w:hAnsi="Times New Roman"/>
          <w:sz w:val="24"/>
        </w:rPr>
        <w:t xml:space="preserve"> отряд</w:t>
      </w:r>
      <w:r>
        <w:rPr>
          <w:rFonts w:ascii="Times New Roman" w:hAnsi="Times New Roman"/>
          <w:sz w:val="24"/>
        </w:rPr>
        <w:t xml:space="preserve">ы</w:t>
      </w:r>
      <w:r>
        <w:rPr>
          <w:rFonts w:ascii="Times New Roman" w:hAnsi="Times New Roman"/>
          <w:sz w:val="24"/>
        </w:rPr>
        <w:t xml:space="preserve"> в летний период на базе </w:t>
      </w:r>
      <w:r>
        <w:rPr>
          <w:rFonts w:ascii="Times New Roman" w:hAnsi="Times New Roman"/>
          <w:sz w:val="24"/>
          <w:lang w:val="ru-RU"/>
        </w:rPr>
        <w:t xml:space="preserve">МКУК «Культурно-досуговый центр»</w:t>
      </w:r>
      <w:r>
        <w:rPr>
          <w:rFonts w:ascii="Times New Roman" w:hAnsi="Times New Roman"/>
          <w:sz w:val="24"/>
          <w:lang w:val="ru-RU"/>
        </w:rPr>
        <w:t xml:space="preserve">, а также временные рабочие места на базе Сланцевской библиотеки.</w:t>
      </w:r>
      <w:r/>
    </w:p>
    <w:p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  <w:lang w:val="ru-RU"/>
        </w:rPr>
        <w:t xml:space="preserve">Всего в 2023 году на базе учреждений культуры г Сланцы создано 81 временное рабочее место для </w:t>
      </w:r>
      <w:r>
        <w:rPr>
          <w:rFonts w:ascii="Times New Roman" w:hAnsi="Times New Roman"/>
          <w:sz w:val="24"/>
        </w:rPr>
        <w:t xml:space="preserve">несовершеннолетних в возрасте от 14 до 17 лет включительно</w:t>
      </w:r>
      <w:r>
        <w:rPr>
          <w:rFonts w:ascii="Times New Roman" w:hAnsi="Times New Roman"/>
          <w:sz w:val="24"/>
          <w:lang w:val="ru-RU"/>
        </w:rPr>
        <w:t xml:space="preserve">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Средства  распределены на выплату заработной платы несовершеннолетним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сопутствующие расходы, в рамк</w:t>
      </w:r>
      <w:r>
        <w:rPr>
          <w:rFonts w:ascii="Times New Roman" w:hAnsi="Times New Roman"/>
          <w:sz w:val="24"/>
        </w:rPr>
        <w:t xml:space="preserve">ах которых приобретены материалы, связанные с профилактическими мероприятиями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а также хоз. инвентарь, медикаменты и бутилированная вода для соблюдения </w:t>
      </w:r>
      <w:r>
        <w:rPr>
          <w:rFonts w:ascii="Times New Roman" w:hAnsi="Times New Roman"/>
          <w:sz w:val="24"/>
          <w:lang w:val="ru-RU"/>
        </w:rPr>
        <w:t xml:space="preserve">питьевого</w:t>
      </w:r>
      <w:r>
        <w:rPr>
          <w:rFonts w:ascii="Times New Roman" w:hAnsi="Times New Roman"/>
          <w:sz w:val="24"/>
        </w:rPr>
        <w:t xml:space="preserve">режима несовершеннолетних работников.</w:t>
      </w:r>
      <w:r>
        <w:rPr>
          <w:lang w:val="ru-RU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7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  <w:lang w:val="ru-RU"/>
        </w:rPr>
      </w:r>
      <w:r>
        <w:rPr>
          <w:rFonts w:ascii="Times New Roman" w:hAnsi="Times New Roman"/>
          <w:sz w:val="24"/>
          <w:highlight w:val="none"/>
          <w:lang w:val="ru-RU"/>
        </w:rPr>
      </w:r>
      <w:r/>
    </w:p>
    <w:p>
      <w:pPr>
        <w:pStyle w:val="85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физической культуры и спорта на террито</w:t>
      </w:r>
      <w:r>
        <w:rPr>
          <w:rFonts w:ascii="Times New Roman" w:hAnsi="Times New Roman"/>
          <w:b/>
          <w:sz w:val="24"/>
        </w:rPr>
        <w:t xml:space="preserve">р</w:t>
      </w:r>
      <w:r>
        <w:rPr>
          <w:rFonts w:ascii="Times New Roman" w:hAnsi="Times New Roman"/>
          <w:b/>
          <w:sz w:val="24"/>
        </w:rPr>
        <w:t xml:space="preserve">ии Сланцевского городского поселения».</w:t>
      </w:r>
      <w:r/>
    </w:p>
    <w:p>
      <w:pPr>
        <w:pStyle w:val="811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/>
      <w:bookmarkStart w:id="1" w:name="_Hlk9425659"/>
      <w:r/>
      <w:bookmarkEnd w:id="1"/>
      <w:r>
        <w:rPr>
          <w:rFonts w:ascii="Times New Roman" w:hAnsi="Times New Roman"/>
          <w:color w:val="000000"/>
          <w:sz w:val="24"/>
        </w:rPr>
        <w:t xml:space="preserve">Мероприятия </w:t>
      </w:r>
      <w:r>
        <w:rPr>
          <w:rFonts w:ascii="Times New Roman" w:hAnsi="Times New Roman"/>
          <w:color w:val="000000"/>
          <w:sz w:val="24"/>
        </w:rPr>
        <w:t xml:space="preserve">по развитию физической культуры и массового спорта</w:t>
      </w:r>
      <w:r>
        <w:rPr>
          <w:rFonts w:ascii="Times New Roman" w:hAnsi="Times New Roman"/>
          <w:color w:val="000000"/>
          <w:sz w:val="24"/>
        </w:rPr>
        <w:t xml:space="preserve"> в Сланцевском городском поселении осуществляются муниц</w:t>
      </w:r>
      <w:r>
        <w:rPr>
          <w:rFonts w:ascii="Times New Roman" w:hAnsi="Times New Roman"/>
          <w:color w:val="000000"/>
          <w:sz w:val="24"/>
        </w:rPr>
        <w:t xml:space="preserve">ипальным казенным учреждением  «Физкультурно-оздоровительный комплекс </w:t>
      </w:r>
      <w:r>
        <w:rPr>
          <w:rFonts w:ascii="Times New Roman" w:hAnsi="Times New Roman"/>
          <w:color w:val="000000"/>
          <w:sz w:val="24"/>
          <w:lang w:val="ru-RU"/>
        </w:rPr>
        <w:t xml:space="preserve">Сланцевского муниципального района</w:t>
      </w:r>
      <w:r>
        <w:rPr>
          <w:rFonts w:ascii="Times New Roman" w:hAnsi="Times New Roman"/>
          <w:color w:val="000000"/>
          <w:sz w:val="24"/>
        </w:rPr>
        <w:t xml:space="preserve">» в соответствии с переданными полномочиями Сланцевского городского поселения Сланцевскому муниципальному району, являющемуся учредителем </w:t>
      </w:r>
      <w:r>
        <w:rPr>
          <w:rFonts w:ascii="Times New Roman" w:hAnsi="Times New Roman"/>
          <w:color w:val="000000"/>
          <w:sz w:val="24"/>
          <w:lang w:val="ru-RU"/>
        </w:rPr>
        <w:t xml:space="preserve">МКУ «ФОК СМР»</w:t>
      </w:r>
      <w:r>
        <w:rPr>
          <w:rFonts w:ascii="Times New Roman" w:hAnsi="Times New Roman"/>
          <w:color w:val="000000"/>
          <w:sz w:val="24"/>
        </w:rPr>
        <w:t xml:space="preserve"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81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color w:val="auto"/>
          <w:sz w:val="24"/>
        </w:rPr>
        <w:t xml:space="preserve">Процент исполнения Календарного плана физкультурных мероприятий и спортивных мероприятий за счет средств бюджета Сланцевского городского поселения - 100 </w:t>
      </w:r>
      <w:r>
        <w:rPr>
          <w:rFonts w:ascii="Times New Roman" w:hAnsi="Times New Roman"/>
          <w:color w:val="auto"/>
          <w:sz w:val="24"/>
        </w:rPr>
        <w:t xml:space="preserve">%.</w:t>
      </w:r>
      <w:r>
        <w:rPr>
          <w:rFonts w:ascii="Times New Roman" w:hAnsi="Times New Roman"/>
          <w:color w:val="auto"/>
          <w:sz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Средства</w:t>
      </w:r>
      <w:r>
        <w:rPr>
          <w:rFonts w:ascii="Times New Roman" w:hAnsi="Times New Roman"/>
          <w:color w:val="auto"/>
          <w:sz w:val="24"/>
        </w:rPr>
        <w:t xml:space="preserve">, затраченные на организацию и провед</w:t>
      </w:r>
      <w:r>
        <w:rPr>
          <w:rFonts w:ascii="Times New Roman" w:hAnsi="Times New Roman"/>
          <w:color w:val="auto"/>
          <w:sz w:val="24"/>
        </w:rPr>
        <w:t xml:space="preserve">ение мероприятий за счет средств бюджета СГП – </w:t>
      </w:r>
      <w:r>
        <w:rPr>
          <w:rFonts w:ascii="Times New Roman" w:hAnsi="Times New Roman"/>
          <w:color w:val="auto"/>
          <w:sz w:val="24"/>
          <w:lang w:val="ru-RU"/>
        </w:rPr>
        <w:t xml:space="preserve">871,1</w:t>
      </w:r>
      <w:r>
        <w:rPr>
          <w:rFonts w:ascii="Times New Roman" w:hAnsi="Times New Roman"/>
          <w:color w:val="auto"/>
          <w:sz w:val="24"/>
          <w:lang w:val="ru-RU"/>
        </w:rPr>
        <w:t xml:space="preserve"> тыс.</w:t>
      </w:r>
      <w:r>
        <w:rPr>
          <w:rFonts w:ascii="Times New Roman" w:hAnsi="Times New Roman"/>
          <w:color w:val="auto"/>
          <w:sz w:val="24"/>
        </w:rPr>
        <w:t xml:space="preserve"> руб.</w:t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</w:p>
    <w:p>
      <w:pPr>
        <w:pStyle w:val="8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11"/>
        <w:ind w:firstLine="567"/>
        <w:jc w:val="both"/>
        <w:rPr>
          <w:color w:val="000000"/>
          <w:highlight w:val="none"/>
        </w:rPr>
      </w:pPr>
      <w:r>
        <w:rPr>
          <w:rFonts w:ascii="Times New Roman" w:hAnsi="Times New Roman"/>
          <w:color w:val="000000"/>
          <w:sz w:val="24"/>
        </w:rPr>
        <w:t xml:space="preserve">В целях создания условий для занятий физической культурой и спортом были проведены запланированные мероприятия</w:t>
      </w:r>
      <w:r>
        <w:rPr>
          <w:rFonts w:ascii="Times New Roman" w:hAnsi="Times New Roman"/>
          <w:color w:val="000000"/>
          <w:sz w:val="24"/>
        </w:rPr>
        <w:t xml:space="preserve">:</w:t>
      </w:r>
      <w:r>
        <w:rPr>
          <w:rFonts w:ascii="Times New Roman" w:hAnsi="Times New Roman"/>
          <w:sz w:val="24"/>
        </w:rPr>
        <w:t xml:space="preserve"> Фестивали ВФСК, </w:t>
      </w:r>
      <w:r>
        <w:rPr>
          <w:rFonts w:ascii="Times New Roman" w:hAnsi="Times New Roman"/>
          <w:sz w:val="24"/>
        </w:rPr>
        <w:t xml:space="preserve">легкоатлетический пробег</w:t>
      </w:r>
      <w:r>
        <w:rPr>
          <w:rFonts w:ascii="Times New Roman" w:hAnsi="Times New Roman"/>
          <w:sz w:val="24"/>
        </w:rPr>
        <w:t xml:space="preserve">, посвященный памяти Пискунова Е.И., Фестиваль женского спорта «Грация»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 xml:space="preserve">в спортивном зале СК «Шахтёр» прошли соревнования по настольному теннису, посвящённые Дню города</w:t>
      </w:r>
      <w:r>
        <w:rPr>
          <w:rFonts w:ascii="Times New Roman" w:hAnsi="Times New Roman"/>
          <w:color w:val="000000"/>
          <w:sz w:val="24"/>
          <w:highlight w:val="white"/>
        </w:rPr>
        <w:t xml:space="preserve">, Фестиваль «ГТО в моей семье»</w:t>
      </w:r>
      <w:r>
        <w:rPr>
          <w:rFonts w:ascii="Times New Roman" w:hAnsi="Times New Roman"/>
          <w:color w:val="000000"/>
          <w:sz w:val="24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highlight w:val="none"/>
          <w:lang w:val="ru-RU"/>
        </w:rPr>
        <w:t xml:space="preserve">и др., </w:t>
      </w:r>
      <w:r>
        <w:rPr>
          <w:rFonts w:ascii="Times New Roman" w:hAnsi="Times New Roman"/>
          <w:color w:val="auto"/>
          <w:sz w:val="24"/>
        </w:rPr>
        <w:t xml:space="preserve">состоялся Фестиваль ВФСК «ГТО» среди детских оздоровительных лагерей, а также в августе 2022 года состоялся Спортивный праздник, посвященный Всероссийскому дню физкультурника</w:t>
      </w:r>
      <w:r/>
      <w:r>
        <w:rPr>
          <w:rFonts w:ascii="Times New Roman" w:hAnsi="Times New Roman"/>
          <w:color w:val="000000"/>
          <w:sz w:val="24"/>
          <w:highlight w:val="none"/>
          <w:lang w:val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Оценка эффективности реализации программы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Оценка эффективности реализации программы производится на основе анализа: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степени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достижения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целей и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задач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путем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сопоставления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фактически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достигнутых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индикаторов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 и 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плановых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значений в соответствии с приложением к подпрограмме;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степени реализации мероприятий программы на основе сопоставления ожидаемых фактически полученных результатов по годам на основе ежегодных планов реализации программы.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Степень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достижения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целей и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задач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подпрограммы (Сд) определяется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формуле:</w:t>
      </w:r>
      <w:r/>
    </w:p>
    <w:p>
      <w:pPr>
        <w:ind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Сд = Зф / Зп x 100%, где: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Зф </w:t>
      </w:r>
      <w:r>
        <w:rPr>
          <w:rFonts w:ascii="Times New Roman" w:hAnsi="Times New Roman"/>
          <w:sz w:val="24"/>
        </w:rPr>
        <w:t xml:space="preserve">–</w:t>
      </w:r>
      <w:r>
        <w:rPr>
          <w:rFonts w:ascii="Times New Roman" w:hAnsi="Times New Roman"/>
          <w:sz w:val="24"/>
        </w:rPr>
        <w:t xml:space="preserve"> фактическое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индикатора (показателя) программы;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Зп </w:t>
      </w:r>
      <w:r>
        <w:rPr>
          <w:rFonts w:ascii="Times New Roman" w:hAnsi="Times New Roman"/>
          <w:sz w:val="24"/>
        </w:rPr>
        <w:t xml:space="preserve">–</w:t>
      </w:r>
      <w:r>
        <w:rPr>
          <w:rFonts w:ascii="Times New Roman" w:hAnsi="Times New Roman"/>
          <w:sz w:val="24"/>
        </w:rPr>
        <w:t xml:space="preserve"> плановое з</w:t>
      </w:r>
      <w:r>
        <w:rPr>
          <w:rFonts w:ascii="Times New Roman" w:hAnsi="Times New Roman"/>
          <w:sz w:val="24"/>
        </w:rPr>
        <w:t xml:space="preserve">начение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индикатора (показателя) программы.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оценки эффективности реализации программы применяются следующие параметры: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высокий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эффективности: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достигнуты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значения 95 процентов и более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показателей </w:t>
      </w:r>
      <w:r>
        <w:rPr>
          <w:rFonts w:ascii="Times New Roman" w:hAnsi="Times New Roman"/>
          <w:sz w:val="24"/>
        </w:rPr>
        <w:t xml:space="preserve">программы;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менее 95 проц. мероприятий, запланированных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отчетный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год, выполнены в полном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объеме;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удовлетворительный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эффективности: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достигнуты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значения 80 проц. и более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показателей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подпрограммы;</w:t>
      </w:r>
      <w:r/>
    </w:p>
    <w:p>
      <w:pPr>
        <w:ind w:firstLine="709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менее 80 проц. мероприятий, запланированных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отчетный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год, выполнены в полном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объеме;</w:t>
      </w:r>
      <w:r/>
    </w:p>
    <w:p>
      <w:pPr>
        <w:ind w:firstLine="709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3) неудовлетворительный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эффективности:</w:t>
      </w:r>
      <w:r/>
    </w:p>
    <w:p>
      <w:pPr>
        <w:ind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реализация подпрограммы не отвечает критериям, указанным в пунктах 1 и 2.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color w:val="35bd35"/>
          <w:sz w:val="24"/>
        </w:rPr>
      </w:pPr>
      <w:r>
        <w:rPr>
          <w:rFonts w:ascii="Times New Roman" w:hAnsi="Times New Roman"/>
          <w:b w:val="0"/>
          <w:color w:val="35bd35"/>
          <w:sz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 202</w:t>
      </w:r>
      <w:r>
        <w:rPr>
          <w:rFonts w:ascii="Times New Roman" w:hAnsi="Times New Roman"/>
          <w:sz w:val="24"/>
          <w:lang w:val="ru-RU"/>
        </w:rPr>
        <w:t xml:space="preserve">3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color w:val="000000"/>
          <w:sz w:val="24"/>
        </w:rPr>
        <w:t xml:space="preserve">оце</w:t>
      </w:r>
      <w:r>
        <w:rPr>
          <w:rFonts w:ascii="Times New Roman" w:hAnsi="Times New Roman"/>
          <w:color w:val="000000"/>
          <w:sz w:val="24"/>
        </w:rPr>
        <w:t xml:space="preserve">нка эффективности муниципальной программы составила </w:t>
      </w:r>
      <w:r>
        <w:rPr>
          <w:rFonts w:ascii="Times New Roman" w:hAnsi="Times New Roman"/>
          <w:color w:val="000000"/>
          <w:sz w:val="24"/>
          <w:lang w:val="ru-RU"/>
        </w:rPr>
        <w:t xml:space="preserve">100</w:t>
      </w:r>
      <w:r>
        <w:rPr>
          <w:rFonts w:ascii="Times New Roman" w:hAnsi="Times New Roman"/>
          <w:color w:val="000000"/>
          <w:sz w:val="24"/>
        </w:rPr>
        <w:t xml:space="preserve">%.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14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сектора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культуре, спорту</w:t>
      </w:r>
      <w:r/>
    </w:p>
    <w:p>
      <w:pPr>
        <w:ind w:firstLine="14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молодежной политике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/>
    </w:p>
    <w:p>
      <w:pPr>
        <w:ind w:firstLine="142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Сланцевского муниципального района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Т.С.Лакшина</w:t>
      </w:r>
      <w:r/>
    </w:p>
    <w:sectPr>
      <w:footnotePr/>
      <w:endnotePr/>
      <w:type w:val="nextPage"/>
      <w:pgSz w:w="11906" w:h="16838" w:orient="portrait"/>
      <w:pgMar w:top="426" w:right="850" w:bottom="1134" w:left="1701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Liberation Sans">
    <w:panose1 w:val="020B0604020202020204"/>
  </w:font>
  <w:font w:name="Tahoma">
    <w:panose1 w:val="020B0604030504040204"/>
  </w:font>
  <w:font w:name="Consolas">
    <w:panose1 w:val="020B0609020204030204"/>
  </w:font>
  <w:font w:name="XO Thames">
    <w:panose1 w:val="02000603000000000000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00"/>
    <w:link w:val="83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800"/>
    <w:link w:val="868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800"/>
    <w:link w:val="814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800"/>
    <w:link w:val="866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800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8"/>
    <w:next w:val="798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00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798"/>
    <w:next w:val="798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00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798"/>
    <w:next w:val="798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00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798"/>
    <w:next w:val="798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0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No Spacing"/>
    <w:uiPriority w:val="1"/>
    <w:qFormat/>
    <w:pPr>
      <w:spacing w:before="0" w:after="0" w:line="240" w:lineRule="auto"/>
    </w:pPr>
  </w:style>
  <w:style w:type="character" w:styleId="652">
    <w:name w:val="Title Char"/>
    <w:basedOn w:val="800"/>
    <w:link w:val="864"/>
    <w:uiPriority w:val="10"/>
    <w:rPr>
      <w:sz w:val="48"/>
      <w:szCs w:val="48"/>
    </w:rPr>
  </w:style>
  <w:style w:type="character" w:styleId="653">
    <w:name w:val="Subtitle Char"/>
    <w:basedOn w:val="800"/>
    <w:link w:val="860"/>
    <w:uiPriority w:val="11"/>
    <w:rPr>
      <w:sz w:val="24"/>
      <w:szCs w:val="24"/>
    </w:rPr>
  </w:style>
  <w:style w:type="paragraph" w:styleId="654">
    <w:name w:val="Quote"/>
    <w:basedOn w:val="798"/>
    <w:next w:val="798"/>
    <w:link w:val="655"/>
    <w:uiPriority w:val="29"/>
    <w:qFormat/>
    <w:pPr>
      <w:ind w:left="720" w:right="720"/>
    </w:pPr>
    <w:rPr>
      <w:i/>
    </w:rPr>
  </w:style>
  <w:style w:type="character" w:styleId="655">
    <w:name w:val="Quote Char"/>
    <w:link w:val="654"/>
    <w:uiPriority w:val="29"/>
    <w:rPr>
      <w:i/>
    </w:rPr>
  </w:style>
  <w:style w:type="paragraph" w:styleId="656">
    <w:name w:val="Intense Quote"/>
    <w:basedOn w:val="798"/>
    <w:next w:val="798"/>
    <w:link w:val="6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7">
    <w:name w:val="Intense Quote Char"/>
    <w:link w:val="656"/>
    <w:uiPriority w:val="30"/>
    <w:rPr>
      <w:i/>
    </w:rPr>
  </w:style>
  <w:style w:type="paragraph" w:styleId="658">
    <w:name w:val="Header"/>
    <w:basedOn w:val="798"/>
    <w:link w:val="6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9">
    <w:name w:val="Header Char"/>
    <w:basedOn w:val="800"/>
    <w:link w:val="658"/>
    <w:uiPriority w:val="99"/>
  </w:style>
  <w:style w:type="paragraph" w:styleId="660">
    <w:name w:val="Footer"/>
    <w:basedOn w:val="798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Footer Char"/>
    <w:basedOn w:val="800"/>
    <w:link w:val="660"/>
    <w:uiPriority w:val="99"/>
  </w:style>
  <w:style w:type="character" w:styleId="662">
    <w:name w:val="Caption Char"/>
    <w:basedOn w:val="816"/>
    <w:link w:val="660"/>
    <w:uiPriority w:val="99"/>
  </w:style>
  <w:style w:type="table" w:styleId="663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8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0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2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3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4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5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6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7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8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5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6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7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8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9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0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1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7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8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9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0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1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2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3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5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8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0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1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2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3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4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5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6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7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8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3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4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5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6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7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8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9">
    <w:name w:val="footnote text"/>
    <w:basedOn w:val="798"/>
    <w:link w:val="790"/>
    <w:uiPriority w:val="99"/>
    <w:semiHidden/>
    <w:unhideWhenUsed/>
    <w:pPr>
      <w:spacing w:after="40" w:line="240" w:lineRule="auto"/>
    </w:pPr>
    <w:rPr>
      <w:sz w:val="18"/>
    </w:rPr>
  </w:style>
  <w:style w:type="character" w:styleId="790">
    <w:name w:val="Footnote Text Char"/>
    <w:link w:val="789"/>
    <w:uiPriority w:val="99"/>
    <w:rPr>
      <w:sz w:val="18"/>
    </w:rPr>
  </w:style>
  <w:style w:type="character" w:styleId="791">
    <w:name w:val="footnote reference"/>
    <w:basedOn w:val="800"/>
    <w:uiPriority w:val="99"/>
    <w:unhideWhenUsed/>
    <w:rPr>
      <w:vertAlign w:val="superscript"/>
    </w:rPr>
  </w:style>
  <w:style w:type="paragraph" w:styleId="792">
    <w:name w:val="endnote text"/>
    <w:basedOn w:val="798"/>
    <w:link w:val="793"/>
    <w:uiPriority w:val="99"/>
    <w:semiHidden/>
    <w:unhideWhenUsed/>
    <w:pPr>
      <w:spacing w:after="0" w:line="240" w:lineRule="auto"/>
    </w:pPr>
    <w:rPr>
      <w:sz w:val="20"/>
    </w:rPr>
  </w:style>
  <w:style w:type="character" w:styleId="793">
    <w:name w:val="Endnote Text Char"/>
    <w:link w:val="792"/>
    <w:uiPriority w:val="99"/>
    <w:rPr>
      <w:sz w:val="20"/>
    </w:rPr>
  </w:style>
  <w:style w:type="character" w:styleId="794">
    <w:name w:val="endnote reference"/>
    <w:basedOn w:val="800"/>
    <w:uiPriority w:val="99"/>
    <w:semiHidden/>
    <w:unhideWhenUsed/>
    <w:rPr>
      <w:vertAlign w:val="superscript"/>
    </w:rPr>
  </w:style>
  <w:style w:type="paragraph" w:styleId="795">
    <w:name w:val="TOC Heading"/>
    <w:uiPriority w:val="39"/>
    <w:unhideWhenUsed/>
  </w:style>
  <w:style w:type="paragraph" w:styleId="796">
    <w:name w:val="table of figures"/>
    <w:basedOn w:val="798"/>
    <w:next w:val="798"/>
    <w:uiPriority w:val="99"/>
    <w:unhideWhenUsed/>
    <w:pPr>
      <w:spacing w:after="0" w:afterAutospacing="0"/>
    </w:pPr>
  </w:style>
  <w:style w:type="paragraph" w:styleId="797" w:default="1">
    <w:name w:val="Normal"/>
    <w:link w:val="798"/>
    <w:uiPriority w:val="0"/>
    <w:qFormat/>
    <w:pPr>
      <w:spacing w:after="160" w:line="252" w:lineRule="auto"/>
    </w:pPr>
    <w:rPr>
      <w:rFonts w:ascii="Calibri" w:hAnsi="Calibri"/>
      <w:sz w:val="22"/>
    </w:rPr>
  </w:style>
  <w:style w:type="character" w:styleId="798" w:default="1">
    <w:name w:val="Normal"/>
    <w:link w:val="797"/>
    <w:rPr>
      <w:rFonts w:ascii="Calibri" w:hAnsi="Calibri"/>
      <w:sz w:val="22"/>
    </w:rPr>
  </w:style>
  <w:style w:type="paragraph" w:styleId="799">
    <w:name w:val="Default Paragraph Font"/>
    <w:link w:val="800"/>
  </w:style>
  <w:style w:type="character" w:styleId="800">
    <w:name w:val="Default Paragraph Font"/>
    <w:link w:val="799"/>
  </w:style>
  <w:style w:type="paragraph" w:styleId="801">
    <w:name w:val="toc 2"/>
    <w:next w:val="797"/>
    <w:link w:val="80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02">
    <w:name w:val="toc 2"/>
    <w:link w:val="801"/>
    <w:rPr>
      <w:rFonts w:ascii="XO Thames" w:hAnsi="XO Thames"/>
      <w:sz w:val="28"/>
    </w:rPr>
  </w:style>
  <w:style w:type="paragraph" w:styleId="803">
    <w:name w:val="toc 4"/>
    <w:next w:val="797"/>
    <w:link w:val="80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04">
    <w:name w:val="toc 4"/>
    <w:link w:val="803"/>
    <w:rPr>
      <w:rFonts w:ascii="XO Thames" w:hAnsi="XO Thames"/>
      <w:sz w:val="28"/>
    </w:rPr>
  </w:style>
  <w:style w:type="paragraph" w:styleId="805">
    <w:name w:val="toc 6"/>
    <w:next w:val="797"/>
    <w:link w:val="8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06">
    <w:name w:val="toc 6"/>
    <w:link w:val="805"/>
    <w:rPr>
      <w:rFonts w:ascii="XO Thames" w:hAnsi="XO Thames"/>
      <w:sz w:val="28"/>
    </w:rPr>
  </w:style>
  <w:style w:type="paragraph" w:styleId="807">
    <w:name w:val="toc 7"/>
    <w:next w:val="797"/>
    <w:link w:val="80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08">
    <w:name w:val="toc 7"/>
    <w:link w:val="807"/>
    <w:rPr>
      <w:rFonts w:ascii="XO Thames" w:hAnsi="XO Thames"/>
      <w:sz w:val="28"/>
    </w:rPr>
  </w:style>
  <w:style w:type="paragraph" w:styleId="809">
    <w:name w:val="List"/>
    <w:basedOn w:val="827"/>
    <w:link w:val="810"/>
  </w:style>
  <w:style w:type="character" w:styleId="810">
    <w:name w:val="List"/>
    <w:basedOn w:val="828"/>
    <w:link w:val="809"/>
  </w:style>
  <w:style w:type="paragraph" w:styleId="811">
    <w:name w:val="Plain Text"/>
    <w:basedOn w:val="797"/>
    <w:link w:val="812"/>
    <w:pPr>
      <w:spacing w:after="0" w:line="240" w:lineRule="auto"/>
    </w:pPr>
    <w:rPr>
      <w:rFonts w:ascii="Consolas" w:hAnsi="Consolas"/>
      <w:sz w:val="21"/>
    </w:rPr>
  </w:style>
  <w:style w:type="character" w:styleId="812">
    <w:name w:val="Plain Text"/>
    <w:basedOn w:val="798"/>
    <w:link w:val="811"/>
    <w:rPr>
      <w:rFonts w:ascii="Consolas" w:hAnsi="Consolas"/>
      <w:sz w:val="21"/>
    </w:rPr>
  </w:style>
  <w:style w:type="paragraph" w:styleId="813">
    <w:name w:val="Heading 3"/>
    <w:next w:val="797"/>
    <w:link w:val="81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14">
    <w:name w:val="Heading 3"/>
    <w:link w:val="813"/>
    <w:rPr>
      <w:rFonts w:ascii="XO Thames" w:hAnsi="XO Thames"/>
      <w:b/>
      <w:sz w:val="26"/>
    </w:rPr>
  </w:style>
  <w:style w:type="paragraph" w:styleId="815">
    <w:name w:val="Caption"/>
    <w:basedOn w:val="797"/>
    <w:link w:val="816"/>
    <w:pPr>
      <w:spacing w:before="120" w:after="120"/>
    </w:pPr>
    <w:rPr>
      <w:i/>
      <w:sz w:val="24"/>
    </w:rPr>
  </w:style>
  <w:style w:type="character" w:styleId="816">
    <w:name w:val="Caption"/>
    <w:basedOn w:val="798"/>
    <w:link w:val="815"/>
    <w:rPr>
      <w:i/>
      <w:sz w:val="24"/>
    </w:rPr>
  </w:style>
  <w:style w:type="paragraph" w:styleId="817">
    <w:name w:val="Balloon Text"/>
    <w:basedOn w:val="797"/>
    <w:link w:val="818"/>
    <w:pPr>
      <w:spacing w:after="0" w:line="240" w:lineRule="auto"/>
    </w:pPr>
    <w:rPr>
      <w:rFonts w:ascii="Tahoma" w:hAnsi="Tahoma"/>
      <w:sz w:val="16"/>
    </w:rPr>
  </w:style>
  <w:style w:type="character" w:styleId="818">
    <w:name w:val="Balloon Text"/>
    <w:basedOn w:val="798"/>
    <w:link w:val="817"/>
    <w:rPr>
      <w:rFonts w:ascii="Tahoma" w:hAnsi="Tahoma"/>
      <w:sz w:val="16"/>
    </w:rPr>
  </w:style>
  <w:style w:type="paragraph" w:styleId="819">
    <w:name w:val="ListLabel 1"/>
    <w:link w:val="820"/>
    <w:rPr>
      <w:b w:val="0"/>
      <w:sz w:val="28"/>
    </w:rPr>
  </w:style>
  <w:style w:type="character" w:styleId="820">
    <w:name w:val="ListLabel 1"/>
    <w:link w:val="819"/>
    <w:rPr>
      <w:b w:val="0"/>
      <w:sz w:val="28"/>
    </w:rPr>
  </w:style>
  <w:style w:type="paragraph" w:styleId="821">
    <w:name w:val="Заголовок1"/>
    <w:basedOn w:val="797"/>
    <w:next w:val="827"/>
    <w:link w:val="822"/>
    <w:pPr>
      <w:keepNext/>
      <w:spacing w:before="240" w:after="120"/>
    </w:pPr>
    <w:rPr>
      <w:rFonts w:ascii="Liberation Sans" w:hAnsi="Liberation Sans"/>
      <w:sz w:val="28"/>
    </w:rPr>
  </w:style>
  <w:style w:type="character" w:styleId="822">
    <w:name w:val="Заголовок1"/>
    <w:basedOn w:val="798"/>
    <w:link w:val="821"/>
    <w:rPr>
      <w:rFonts w:ascii="Liberation Sans" w:hAnsi="Liberation Sans"/>
      <w:sz w:val="28"/>
    </w:rPr>
  </w:style>
  <w:style w:type="paragraph" w:styleId="823">
    <w:name w:val="Основной шрифт абзаца1"/>
    <w:link w:val="824"/>
  </w:style>
  <w:style w:type="character" w:styleId="824">
    <w:name w:val="Основной шрифт абзаца1"/>
    <w:link w:val="823"/>
  </w:style>
  <w:style w:type="paragraph" w:styleId="825">
    <w:name w:val="ListLabel 2"/>
    <w:link w:val="826"/>
    <w:rPr>
      <w:b w:val="0"/>
    </w:rPr>
  </w:style>
  <w:style w:type="character" w:styleId="826">
    <w:name w:val="ListLabel 2"/>
    <w:link w:val="825"/>
    <w:rPr>
      <w:b w:val="0"/>
    </w:rPr>
  </w:style>
  <w:style w:type="paragraph" w:styleId="827">
    <w:name w:val="Body Text"/>
    <w:basedOn w:val="797"/>
    <w:link w:val="828"/>
    <w:pPr>
      <w:spacing w:after="140" w:line="288" w:lineRule="auto"/>
    </w:pPr>
  </w:style>
  <w:style w:type="character" w:styleId="828">
    <w:name w:val="Body Text"/>
    <w:basedOn w:val="798"/>
    <w:link w:val="827"/>
  </w:style>
  <w:style w:type="paragraph" w:styleId="829">
    <w:name w:val="toc 3"/>
    <w:next w:val="797"/>
    <w:link w:val="8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0">
    <w:name w:val="toc 3"/>
    <w:link w:val="829"/>
    <w:rPr>
      <w:rFonts w:ascii="XO Thames" w:hAnsi="XO Thames"/>
      <w:sz w:val="28"/>
    </w:rPr>
  </w:style>
  <w:style w:type="paragraph" w:styleId="831">
    <w:name w:val="Normal (Web)"/>
    <w:basedOn w:val="797"/>
    <w:link w:val="832"/>
    <w:pPr>
      <w:spacing w:before="280" w:after="119" w:line="240" w:lineRule="auto"/>
      <w:widowControl w:val="off"/>
    </w:pPr>
    <w:rPr>
      <w:rFonts w:ascii="Times New Roman" w:hAnsi="Times New Roman"/>
      <w:sz w:val="24"/>
    </w:rPr>
  </w:style>
  <w:style w:type="character" w:styleId="832">
    <w:name w:val="Normal (Web)"/>
    <w:basedOn w:val="798"/>
    <w:link w:val="831"/>
    <w:rPr>
      <w:rFonts w:ascii="Times New Roman" w:hAnsi="Times New Roman"/>
      <w:sz w:val="24"/>
    </w:rPr>
  </w:style>
  <w:style w:type="paragraph" w:styleId="833">
    <w:name w:val="Heading 5"/>
    <w:next w:val="797"/>
    <w:link w:val="8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4">
    <w:name w:val="Heading 5"/>
    <w:link w:val="833"/>
    <w:rPr>
      <w:rFonts w:ascii="XO Thames" w:hAnsi="XO Thames"/>
      <w:b/>
      <w:sz w:val="22"/>
    </w:rPr>
  </w:style>
  <w:style w:type="paragraph" w:styleId="835">
    <w:name w:val="Heading 1"/>
    <w:basedOn w:val="797"/>
    <w:next w:val="797"/>
    <w:link w:val="836"/>
    <w:uiPriority w:val="9"/>
    <w:qFormat/>
    <w:pPr>
      <w:keepLines/>
      <w:keepNext/>
      <w:spacing w:before="480" w:after="0" w:line="276" w:lineRule="auto"/>
      <w:outlineLvl w:val="0"/>
    </w:pPr>
    <w:rPr>
      <w:rFonts w:ascii="Cambria" w:hAnsi="Cambria"/>
      <w:b/>
      <w:color w:val="365f91"/>
      <w:sz w:val="28"/>
    </w:rPr>
  </w:style>
  <w:style w:type="character" w:styleId="836">
    <w:name w:val="Heading 1"/>
    <w:basedOn w:val="798"/>
    <w:link w:val="835"/>
    <w:rPr>
      <w:rFonts w:ascii="Cambria" w:hAnsi="Cambria"/>
      <w:b/>
      <w:color w:val="365f91"/>
      <w:sz w:val="28"/>
    </w:rPr>
  </w:style>
  <w:style w:type="paragraph" w:styleId="837">
    <w:name w:val="CharStyle8"/>
    <w:basedOn w:val="823"/>
    <w:link w:val="838"/>
    <w:rPr>
      <w:rFonts w:ascii="Times New Roman" w:hAnsi="Times New Roman"/>
      <w:b w:val="0"/>
      <w:i w:val="0"/>
      <w:strike w:val="0"/>
      <w:color w:val="000000"/>
      <w:spacing w:val="-3"/>
      <w:sz w:val="23"/>
      <w:u w:val="none"/>
    </w:rPr>
  </w:style>
  <w:style w:type="character" w:styleId="838">
    <w:name w:val="CharStyle8"/>
    <w:basedOn w:val="824"/>
    <w:link w:val="837"/>
    <w:rPr>
      <w:rFonts w:ascii="Times New Roman" w:hAnsi="Times New Roman"/>
      <w:b w:val="0"/>
      <w:i w:val="0"/>
      <w:strike w:val="0"/>
      <w:color w:val="000000"/>
      <w:spacing w:val="-3"/>
      <w:sz w:val="23"/>
      <w:u w:val="none"/>
    </w:rPr>
  </w:style>
  <w:style w:type="paragraph" w:styleId="839">
    <w:name w:val="Hyperlink"/>
    <w:link w:val="840"/>
    <w:rPr>
      <w:color w:val="0000ff"/>
      <w:u w:val="single"/>
    </w:rPr>
  </w:style>
  <w:style w:type="character" w:styleId="840">
    <w:name w:val="Hyperlink"/>
    <w:link w:val="839"/>
    <w:rPr>
      <w:color w:val="0000ff"/>
      <w:u w:val="single"/>
    </w:rPr>
  </w:style>
  <w:style w:type="paragraph" w:styleId="841">
    <w:name w:val="Footnote"/>
    <w:link w:val="842"/>
    <w:pPr>
      <w:ind w:left="0" w:firstLine="851"/>
      <w:jc w:val="both"/>
    </w:pPr>
    <w:rPr>
      <w:rFonts w:ascii="XO Thames" w:hAnsi="XO Thames"/>
      <w:sz w:val="22"/>
    </w:rPr>
  </w:style>
  <w:style w:type="character" w:styleId="842">
    <w:name w:val="Footnote"/>
    <w:link w:val="841"/>
    <w:rPr>
      <w:rFonts w:ascii="XO Thames" w:hAnsi="XO Thames"/>
      <w:sz w:val="22"/>
    </w:rPr>
  </w:style>
  <w:style w:type="paragraph" w:styleId="843">
    <w:name w:val="toc 1"/>
    <w:next w:val="797"/>
    <w:link w:val="8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4">
    <w:name w:val="toc 1"/>
    <w:link w:val="843"/>
    <w:rPr>
      <w:rFonts w:ascii="XO Thames" w:hAnsi="XO Thames"/>
      <w:b/>
      <w:sz w:val="28"/>
    </w:rPr>
  </w:style>
  <w:style w:type="paragraph" w:styleId="845">
    <w:name w:val="Header and Footer"/>
    <w:link w:val="846"/>
    <w:pPr>
      <w:jc w:val="both"/>
      <w:spacing w:line="240" w:lineRule="auto"/>
    </w:pPr>
    <w:rPr>
      <w:rFonts w:ascii="XO Thames" w:hAnsi="XO Thames"/>
      <w:sz w:val="20"/>
    </w:rPr>
  </w:style>
  <w:style w:type="character" w:styleId="846">
    <w:name w:val="Header and Footer"/>
    <w:link w:val="845"/>
    <w:rPr>
      <w:rFonts w:ascii="XO Thames" w:hAnsi="XO Thames"/>
      <w:sz w:val="20"/>
    </w:rPr>
  </w:style>
  <w:style w:type="paragraph" w:styleId="847">
    <w:name w:val="toc 9"/>
    <w:next w:val="797"/>
    <w:link w:val="8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8">
    <w:name w:val="toc 9"/>
    <w:link w:val="847"/>
    <w:rPr>
      <w:rFonts w:ascii="XO Thames" w:hAnsi="XO Thames"/>
      <w:sz w:val="28"/>
    </w:rPr>
  </w:style>
  <w:style w:type="paragraph" w:styleId="849">
    <w:name w:val="toc 8"/>
    <w:next w:val="797"/>
    <w:link w:val="8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0">
    <w:name w:val="toc 8"/>
    <w:link w:val="849"/>
    <w:rPr>
      <w:rFonts w:ascii="XO Thames" w:hAnsi="XO Thames"/>
      <w:sz w:val="28"/>
    </w:rPr>
  </w:style>
  <w:style w:type="paragraph" w:styleId="851">
    <w:name w:val="Указатель1"/>
    <w:basedOn w:val="797"/>
    <w:link w:val="852"/>
  </w:style>
  <w:style w:type="character" w:styleId="852">
    <w:name w:val="Указатель1"/>
    <w:basedOn w:val="798"/>
    <w:link w:val="851"/>
  </w:style>
  <w:style w:type="paragraph" w:styleId="853">
    <w:name w:val="grame"/>
    <w:basedOn w:val="823"/>
    <w:link w:val="854"/>
  </w:style>
  <w:style w:type="character" w:styleId="854">
    <w:name w:val="grame"/>
    <w:basedOn w:val="824"/>
    <w:link w:val="853"/>
  </w:style>
  <w:style w:type="paragraph" w:styleId="855">
    <w:name w:val="toc 5"/>
    <w:next w:val="797"/>
    <w:link w:val="85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6">
    <w:name w:val="toc 5"/>
    <w:link w:val="855"/>
    <w:rPr>
      <w:rFonts w:ascii="XO Thames" w:hAnsi="XO Thames"/>
      <w:sz w:val="28"/>
    </w:rPr>
  </w:style>
  <w:style w:type="paragraph" w:styleId="857">
    <w:name w:val="List Paragraph"/>
    <w:basedOn w:val="797"/>
    <w:link w:val="858"/>
    <w:pPr>
      <w:contextualSpacing/>
      <w:ind w:left="720" w:firstLine="0"/>
      <w:spacing w:after="0" w:line="240" w:lineRule="auto"/>
    </w:pPr>
  </w:style>
  <w:style w:type="character" w:styleId="858">
    <w:name w:val="List Paragraph"/>
    <w:basedOn w:val="798"/>
    <w:link w:val="857"/>
  </w:style>
  <w:style w:type="paragraph" w:styleId="859">
    <w:name w:val="Subtitle"/>
    <w:next w:val="797"/>
    <w:link w:val="86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60">
    <w:name w:val="Subtitle"/>
    <w:link w:val="859"/>
    <w:rPr>
      <w:rFonts w:ascii="XO Thames" w:hAnsi="XO Thames"/>
      <w:i/>
      <w:sz w:val="24"/>
    </w:rPr>
  </w:style>
  <w:style w:type="paragraph" w:styleId="861">
    <w:name w:val="toc 10"/>
    <w:next w:val="797"/>
    <w:link w:val="862"/>
    <w:uiPriority w:val="39"/>
    <w:pPr>
      <w:ind w:left="1800" w:firstLine="0"/>
      <w:jc w:val="left"/>
    </w:pPr>
    <w:rPr>
      <w:rFonts w:ascii="XO Thames" w:hAnsi="XO Thames"/>
      <w:sz w:val="28"/>
    </w:rPr>
  </w:style>
  <w:style w:type="character" w:styleId="862">
    <w:name w:val="toc 10"/>
    <w:link w:val="861"/>
    <w:rPr>
      <w:rFonts w:ascii="XO Thames" w:hAnsi="XO Thames"/>
      <w:sz w:val="28"/>
    </w:rPr>
  </w:style>
  <w:style w:type="paragraph" w:styleId="863">
    <w:name w:val="Title"/>
    <w:next w:val="797"/>
    <w:link w:val="86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4">
    <w:name w:val="Title"/>
    <w:link w:val="863"/>
    <w:rPr>
      <w:rFonts w:ascii="XO Thames" w:hAnsi="XO Thames"/>
      <w:b/>
      <w:caps/>
      <w:sz w:val="40"/>
    </w:rPr>
  </w:style>
  <w:style w:type="paragraph" w:styleId="865">
    <w:name w:val="Heading 4"/>
    <w:basedOn w:val="797"/>
    <w:next w:val="797"/>
    <w:link w:val="866"/>
    <w:uiPriority w:val="9"/>
    <w:qFormat/>
    <w:pPr>
      <w:keepLines/>
      <w:keepNext/>
      <w:spacing w:before="40" w:after="0"/>
      <w:outlineLvl w:val="3"/>
    </w:pPr>
    <w:rPr>
      <w:rFonts w:asciiTheme="majorAscii" w:hAnsiTheme="majorHAnsi"/>
      <w:i/>
      <w:color w:val="366091" w:themeColor="accent1" w:themeShade="BF"/>
    </w:rPr>
  </w:style>
  <w:style w:type="character" w:styleId="866">
    <w:name w:val="Heading 4"/>
    <w:basedOn w:val="798"/>
    <w:link w:val="865"/>
    <w:rPr>
      <w:rFonts w:asciiTheme="majorAscii" w:hAnsiTheme="majorHAnsi"/>
      <w:i/>
      <w:color w:val="366091" w:themeColor="accent1" w:themeShade="BF"/>
    </w:rPr>
  </w:style>
  <w:style w:type="paragraph" w:styleId="867">
    <w:name w:val="Heading 2"/>
    <w:next w:val="797"/>
    <w:link w:val="86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8">
    <w:name w:val="Heading 2"/>
    <w:link w:val="867"/>
    <w:rPr>
      <w:rFonts w:ascii="XO Thames" w:hAnsi="XO Thames"/>
      <w:b/>
      <w:sz w:val="28"/>
    </w:rPr>
  </w:style>
  <w:style w:type="paragraph" w:styleId="869">
    <w:name w:val="CharStyle6"/>
    <w:basedOn w:val="799"/>
    <w:link w:val="870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character" w:styleId="870">
    <w:name w:val="CharStyle6"/>
    <w:basedOn w:val="800"/>
    <w:link w:val="869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type="paragraph" w:styleId="871">
    <w:name w:val="Абзац списка1"/>
    <w:basedOn w:val="797"/>
    <w:link w:val="872"/>
    <w:pPr>
      <w:contextualSpacing/>
      <w:ind w:left="720" w:firstLine="0"/>
    </w:pPr>
  </w:style>
  <w:style w:type="character" w:styleId="872">
    <w:name w:val="Абзац списка1"/>
    <w:basedOn w:val="798"/>
    <w:link w:val="871"/>
  </w:style>
  <w:style w:type="table" w:styleId="87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2024-03-11T12:38:35Z</dcterms:modified>
</cp:coreProperties>
</file>