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Пояснительная записка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отчету о реализации муниципальной программы «Развитие культуры, спорта и молодежной политики на территории Сланцевского </w:t>
      </w:r>
      <w:r>
        <w:rPr>
          <w:rFonts w:ascii="Times New Roman" w:hAnsi="Times New Roman"/>
          <w:sz w:val="24"/>
        </w:rPr>
        <w:t xml:space="preserve">муниципального района</w:t>
      </w:r>
      <w:r>
        <w:rPr>
          <w:rFonts w:ascii="Times New Roman" w:hAnsi="Times New Roman"/>
          <w:sz w:val="24"/>
        </w:rPr>
        <w:t xml:space="preserve">»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20</w:t>
      </w:r>
      <w:r>
        <w:rPr>
          <w:rFonts w:ascii="Times New Roman" w:hAnsi="Times New Roman"/>
          <w:sz w:val="24"/>
        </w:rPr>
        <w:t xml:space="preserve">20</w:t>
      </w:r>
      <w:r>
        <w:rPr>
          <w:rFonts w:ascii="Times New Roman" w:hAnsi="Times New Roman"/>
          <w:sz w:val="24"/>
        </w:rPr>
        <w:t xml:space="preserve"> – 20</w:t>
      </w:r>
      <w:r>
        <w:rPr>
          <w:rFonts w:ascii="Times New Roman" w:hAnsi="Times New Roman"/>
          <w:sz w:val="24"/>
        </w:rPr>
        <w:t xml:space="preserve">2</w:t>
      </w:r>
      <w:r>
        <w:rPr>
          <w:rFonts w:ascii="Times New Roman" w:hAnsi="Times New Roman"/>
          <w:sz w:val="24"/>
          <w:lang w:val="ru-RU"/>
        </w:rPr>
        <w:t xml:space="preserve">6 </w:t>
      </w:r>
      <w:r>
        <w:rPr>
          <w:rFonts w:ascii="Times New Roman" w:hAnsi="Times New Roman"/>
          <w:sz w:val="24"/>
        </w:rPr>
        <w:t xml:space="preserve">годы</w:t>
      </w:r>
      <w:r>
        <w:rPr>
          <w:rFonts w:ascii="Times New Roman" w:hAnsi="Times New Roman"/>
          <w:sz w:val="24"/>
        </w:rPr>
        <w:t xml:space="preserve"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утвержденной постановлением администрации 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z w:val="24"/>
        </w:rPr>
        <w:t xml:space="preserve">30</w:t>
      </w:r>
      <w:r>
        <w:rPr>
          <w:rFonts w:ascii="Times New Roman" w:hAnsi="Times New Roman"/>
          <w:color w:val="000000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  <w:t xml:space="preserve">10</w:t>
      </w:r>
      <w:r>
        <w:rPr>
          <w:rFonts w:ascii="Times New Roman" w:hAnsi="Times New Roman"/>
          <w:color w:val="000000"/>
          <w:sz w:val="24"/>
        </w:rPr>
        <w:t xml:space="preserve">.201</w:t>
      </w:r>
      <w:r>
        <w:rPr>
          <w:rFonts w:ascii="Times New Roman" w:hAnsi="Times New Roman"/>
          <w:color w:val="000000"/>
          <w:sz w:val="24"/>
        </w:rPr>
        <w:t xml:space="preserve">9</w:t>
      </w:r>
      <w:r>
        <w:rPr>
          <w:rFonts w:ascii="Times New Roman" w:hAnsi="Times New Roman"/>
          <w:color w:val="000000"/>
          <w:sz w:val="24"/>
        </w:rPr>
        <w:t xml:space="preserve"> г. № </w:t>
      </w:r>
      <w:r>
        <w:rPr>
          <w:rFonts w:ascii="Times New Roman" w:hAnsi="Times New Roman"/>
          <w:color w:val="000000"/>
          <w:sz w:val="24"/>
        </w:rPr>
        <w:t xml:space="preserve">170</w:t>
      </w:r>
      <w:r>
        <w:rPr>
          <w:rFonts w:ascii="Times New Roman" w:hAnsi="Times New Roman"/>
          <w:color w:val="000000"/>
          <w:sz w:val="24"/>
        </w:rPr>
        <w:t xml:space="preserve">8</w:t>
      </w:r>
      <w:r>
        <w:rPr>
          <w:rFonts w:ascii="Times New Roman" w:hAnsi="Times New Roman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п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</w:t>
      </w:r>
      <w:r>
        <w:rPr>
          <w:rFonts w:ascii="Times New Roman" w:hAnsi="Times New Roman"/>
          <w:sz w:val="24"/>
        </w:rPr>
        <w:t xml:space="preserve">с последующими изменениями)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</w:t>
      </w:r>
      <w:r>
        <w:rPr>
          <w:rFonts w:ascii="Times New Roman" w:hAnsi="Times New Roman"/>
          <w:sz w:val="24"/>
        </w:rPr>
        <w:t xml:space="preserve">2</w:t>
      </w:r>
      <w:r>
        <w:rPr>
          <w:rFonts w:ascii="Times New Roman" w:hAnsi="Times New Roman"/>
          <w:sz w:val="24"/>
          <w:lang w:val="ru-RU"/>
        </w:rPr>
        <w:t xml:space="preserve">3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/>
    </w:p>
    <w:p>
      <w:pPr>
        <w:pStyle w:val="815"/>
        <w:ind w:firstLine="709"/>
        <w:jc w:val="both"/>
        <w:spacing w:before="0" w:after="0"/>
      </w:pPr>
      <w:r>
        <w:rPr>
          <w:color w:val="000000"/>
        </w:rPr>
        <w:t xml:space="preserve">Реализация мероприятий муниципальной программы «Развитие культуры, спорта и молодежной политики на территории Сланцевского муниципального района</w:t>
      </w:r>
      <w:r>
        <w:rPr>
          <w:color w:val="000000"/>
        </w:rPr>
        <w:t xml:space="preserve">»</w:t>
      </w:r>
      <w:r>
        <w:rPr>
          <w:color w:val="000000"/>
        </w:rPr>
        <w:t xml:space="preserve"> на </w:t>
      </w:r>
      <w:r>
        <w:rPr>
          <w:color w:val="000000"/>
        </w:rPr>
        <w:t xml:space="preserve">                  </w:t>
      </w:r>
      <w:r>
        <w:rPr>
          <w:color w:val="000000"/>
        </w:rPr>
        <w:t xml:space="preserve">20</w:t>
      </w:r>
      <w:r>
        <w:rPr>
          <w:color w:val="000000"/>
        </w:rPr>
        <w:t xml:space="preserve">20</w:t>
      </w:r>
      <w:r>
        <w:rPr>
          <w:color w:val="000000"/>
        </w:rPr>
        <w:t xml:space="preserve">-20</w:t>
      </w:r>
      <w:r>
        <w:rPr>
          <w:color w:val="000000"/>
        </w:rPr>
        <w:t xml:space="preserve">2</w:t>
      </w:r>
      <w:r>
        <w:rPr>
          <w:color w:val="000000"/>
          <w:lang w:val="ru-RU"/>
        </w:rPr>
        <w:t xml:space="preserve">6</w:t>
      </w:r>
      <w:r>
        <w:rPr>
          <w:color w:val="000000"/>
        </w:rPr>
        <w:t xml:space="preserve"> годы</w:t>
      </w:r>
      <w:r>
        <w:rPr>
          <w:color w:val="000000"/>
        </w:rPr>
        <w:t xml:space="preserve">, утвержденной постановлением администрации от </w:t>
      </w:r>
      <w:r>
        <w:rPr>
          <w:color w:val="000000"/>
        </w:rPr>
        <w:t xml:space="preserve">30.10.2019</w:t>
      </w:r>
      <w:r>
        <w:rPr>
          <w:color w:val="000000"/>
        </w:rPr>
        <w:t xml:space="preserve"> г. </w:t>
      </w:r>
      <w:r>
        <w:rPr>
          <w:color w:val="000000"/>
        </w:rPr>
        <w:t xml:space="preserve">                              </w:t>
      </w:r>
      <w:r>
        <w:rPr>
          <w:color w:val="000000"/>
        </w:rPr>
        <w:t xml:space="preserve">№</w:t>
      </w:r>
      <w:r>
        <w:rPr>
          <w:color w:val="000000"/>
        </w:rPr>
        <w:t xml:space="preserve"> </w:t>
      </w:r>
      <w:r>
        <w:rPr>
          <w:color w:val="000000"/>
        </w:rPr>
        <w:t xml:space="preserve">1708</w:t>
      </w:r>
      <w:r>
        <w:rPr>
          <w:color w:val="000000"/>
        </w:rPr>
        <w:t xml:space="preserve">-п., в </w:t>
      </w:r>
      <w:r>
        <w:rPr>
          <w:color w:val="000000"/>
        </w:rPr>
        <w:t xml:space="preserve"> </w:t>
      </w:r>
      <w:r>
        <w:t xml:space="preserve">20</w:t>
      </w:r>
      <w:r>
        <w:t xml:space="preserve">2</w:t>
      </w:r>
      <w:r>
        <w:rPr>
          <w:lang w:val="ru-RU"/>
        </w:rPr>
        <w:t xml:space="preserve">3</w:t>
      </w:r>
      <w:r>
        <w:t xml:space="preserve"> год</w:t>
      </w:r>
      <w:r>
        <w:rPr>
          <w:lang w:val="ru-RU"/>
        </w:rPr>
        <w:t xml:space="preserve">у</w:t>
      </w:r>
      <w:r>
        <w:rPr>
          <w:color w:val="000000"/>
        </w:rPr>
        <w:t xml:space="preserve"> осуществл</w:t>
      </w:r>
      <w:r>
        <w:rPr>
          <w:color w:val="000000"/>
        </w:rPr>
        <w:t xml:space="preserve">яла</w:t>
      </w:r>
      <w:r>
        <w:rPr>
          <w:color w:val="000000"/>
        </w:rPr>
        <w:t xml:space="preserve">сь администрацией Сланцевского муниципального района в партнерстве с администрациями поселений района, учреждениями культуры, физической культуры и спорта, спортивными общественными объединениями.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Исполнителями программы являются МКУК «</w:t>
      </w:r>
      <w:r>
        <w:rPr>
          <w:rFonts w:ascii="Times New Roman" w:hAnsi="Times New Roman"/>
          <w:sz w:val="24"/>
        </w:rPr>
        <w:t xml:space="preserve">Сланцевская </w:t>
      </w:r>
      <w:r>
        <w:rPr>
          <w:rFonts w:ascii="Times New Roman" w:hAnsi="Times New Roman"/>
          <w:sz w:val="24"/>
        </w:rPr>
        <w:t xml:space="preserve">межпоселенческая</w:t>
      </w:r>
      <w:r>
        <w:rPr>
          <w:rFonts w:ascii="Times New Roman" w:hAnsi="Times New Roman"/>
          <w:sz w:val="24"/>
        </w:rPr>
        <w:t xml:space="preserve"> центральная районная библиотека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color w:val="000000"/>
          <w:sz w:val="24"/>
        </w:rPr>
        <w:t xml:space="preserve">МКУ «Физкультурно-оздоровительный комплекс Сланцевского муниципального района»</w:t>
      </w:r>
      <w:r>
        <w:rPr>
          <w:rFonts w:ascii="Times New Roman" w:hAnsi="Times New Roman"/>
          <w:color w:val="000000"/>
          <w:sz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Решение поставленных в муниципальной Программе задач достигается посредством реализации</w:t>
      </w:r>
      <w:r>
        <w:rPr>
          <w:rFonts w:ascii="Times New Roman" w:hAnsi="Times New Roman"/>
          <w:color w:val="000000"/>
          <w:sz w:val="24"/>
        </w:rPr>
        <w:t xml:space="preserve"> федерального </w:t>
      </w:r>
      <w:r>
        <w:rPr>
          <w:rFonts w:ascii="Times New Roman" w:hAnsi="Times New Roman"/>
          <w:color w:val="000000"/>
          <w:sz w:val="24"/>
        </w:rPr>
        <w:t xml:space="preserve">проекта,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комплексов</w:t>
      </w:r>
      <w:r>
        <w:rPr>
          <w:rFonts w:ascii="Times New Roman" w:hAnsi="Times New Roman"/>
          <w:color w:val="000000"/>
          <w:sz w:val="24"/>
        </w:rPr>
        <w:t xml:space="preserve"> процессных мероприятий</w:t>
      </w:r>
      <w:r>
        <w:rPr>
          <w:rFonts w:ascii="Times New Roman" w:hAnsi="Times New Roman"/>
          <w:color w:val="000000"/>
          <w:sz w:val="24"/>
        </w:rPr>
        <w:t xml:space="preserve">:</w:t>
      </w:r>
      <w:r/>
    </w:p>
    <w:p>
      <w:pPr>
        <w:pStyle w:val="82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«Развитие культуры на территории Сланцевского </w:t>
      </w:r>
      <w:r>
        <w:rPr>
          <w:rFonts w:ascii="Times New Roman" w:hAnsi="Times New Roman"/>
          <w:b/>
          <w:color w:val="000000"/>
          <w:sz w:val="24"/>
        </w:rPr>
        <w:t xml:space="preserve">муниципального района</w:t>
      </w:r>
      <w:r>
        <w:rPr>
          <w:rFonts w:ascii="Times New Roman" w:hAnsi="Times New Roman"/>
          <w:b/>
          <w:color w:val="000000"/>
          <w:sz w:val="24"/>
        </w:rPr>
        <w:t xml:space="preserve">»</w:t>
      </w:r>
      <w:r>
        <w:rPr>
          <w:rFonts w:ascii="Times New Roman" w:hAnsi="Times New Roman"/>
          <w:b/>
          <w:color w:val="000000"/>
          <w:sz w:val="24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отчетном периоде осуществлялась текущая деятельность </w:t>
      </w:r>
      <w:r>
        <w:rPr>
          <w:rFonts w:ascii="Times New Roman" w:hAnsi="Times New Roman"/>
          <w:sz w:val="24"/>
        </w:rPr>
        <w:t xml:space="preserve">муниципального казенного учреждения культуры «Сланцевская </w:t>
      </w:r>
      <w:r>
        <w:rPr>
          <w:rFonts w:ascii="Times New Roman" w:hAnsi="Times New Roman"/>
          <w:sz w:val="24"/>
        </w:rPr>
        <w:t xml:space="preserve">межпоселенческая</w:t>
      </w:r>
      <w:r>
        <w:rPr>
          <w:rFonts w:ascii="Times New Roman" w:hAnsi="Times New Roman"/>
          <w:sz w:val="24"/>
        </w:rPr>
        <w:t xml:space="preserve"> центральная районная библиотека».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мероприятий осуществлялось </w:t>
      </w:r>
      <w:r>
        <w:rPr>
          <w:rFonts w:ascii="Times New Roman" w:hAnsi="Times New Roman"/>
          <w:sz w:val="24"/>
        </w:rPr>
        <w:t xml:space="preserve">поддержка творческих инициатив, </w:t>
      </w:r>
      <w:r>
        <w:rPr>
          <w:rFonts w:ascii="Times New Roman" w:hAnsi="Times New Roman"/>
          <w:sz w:val="24"/>
        </w:rPr>
        <w:t xml:space="preserve">библиотечное обслуживания </w:t>
      </w:r>
      <w:r>
        <w:rPr>
          <w:rFonts w:ascii="Times New Roman" w:hAnsi="Times New Roman"/>
          <w:sz w:val="24"/>
        </w:rPr>
        <w:t xml:space="preserve">населения  Сланцевско</w:t>
      </w:r>
      <w:r>
        <w:rPr>
          <w:rFonts w:ascii="Times New Roman" w:hAnsi="Times New Roman"/>
          <w:sz w:val="24"/>
        </w:rPr>
        <w:t xml:space="preserve">го</w:t>
      </w:r>
      <w:r>
        <w:rPr>
          <w:rFonts w:ascii="Times New Roman" w:hAnsi="Times New Roman"/>
          <w:sz w:val="24"/>
        </w:rPr>
        <w:t xml:space="preserve"> район</w:t>
      </w:r>
      <w:r>
        <w:rPr>
          <w:rFonts w:ascii="Times New Roman" w:hAnsi="Times New Roman"/>
          <w:sz w:val="24"/>
        </w:rPr>
        <w:t xml:space="preserve">а, сохранение кадрового потенциала, комплектование книжных фондов и др.</w:t>
      </w:r>
      <w:r>
        <w:rPr>
          <w:rFonts w:ascii="Times New Roman" w:hAnsi="Times New Roman"/>
          <w:sz w:val="24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Осуществлялись мероприятия по </w:t>
      </w:r>
      <w:r>
        <w:rPr>
          <w:rFonts w:ascii="Times New Roman" w:hAnsi="Times New Roman"/>
          <w:sz w:val="24"/>
        </w:rPr>
        <w:t xml:space="preserve">участию в государственной </w:t>
      </w:r>
      <w:r>
        <w:rPr>
          <w:rFonts w:ascii="Times New Roman" w:hAnsi="Times New Roman"/>
          <w:sz w:val="24"/>
        </w:rPr>
        <w:t xml:space="preserve">программе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Развитие культуры в Ленинградской области</w:t>
      </w:r>
      <w:r>
        <w:rPr>
          <w:rFonts w:ascii="Times New Roman" w:hAnsi="Times New Roman"/>
          <w:sz w:val="24"/>
        </w:rPr>
        <w:t xml:space="preserve">»</w:t>
      </w:r>
      <w:r>
        <w:rPr>
          <w:rFonts w:ascii="Times New Roman" w:hAnsi="Times New Roman"/>
          <w:sz w:val="24"/>
        </w:rPr>
        <w:t xml:space="preserve">. Заключены соглашения на предоставление субсидий из областного бюджета на реализацию следующих направлений деятельности: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Обеспечение выплат стимулирующего характера работникам муниципальных учреждений культуры Сланцевского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 xml:space="preserve">района 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  <w:lang w:val="ru-RU"/>
        </w:rPr>
        <w:t xml:space="preserve">5</w:t>
      </w:r>
      <w:r>
        <w:rPr>
          <w:rFonts w:ascii="Times New Roman" w:hAnsi="Times New Roman"/>
          <w:sz w:val="24"/>
        </w:rPr>
        <w:t xml:space="preserve"> </w:t>
      </w:r>
      <w:r>
        <w:rPr>
          <w:rFonts w:ascii="Times New Roman" w:hAnsi="Times New Roman"/>
          <w:sz w:val="24"/>
          <w:lang w:val="ru-RU"/>
        </w:rPr>
        <w:t xml:space="preserve">163</w:t>
      </w:r>
      <w:r>
        <w:rPr>
          <w:rFonts w:ascii="Times New Roman" w:hAnsi="Times New Roman"/>
          <w:sz w:val="24"/>
        </w:rPr>
        <w:t xml:space="preserve">,</w:t>
      </w:r>
      <w:r>
        <w:rPr>
          <w:rFonts w:ascii="Times New Roman" w:hAnsi="Times New Roman"/>
          <w:sz w:val="24"/>
          <w:lang w:val="ru-RU"/>
        </w:rPr>
        <w:t xml:space="preserve">1</w:t>
      </w:r>
      <w:r>
        <w:rPr>
          <w:rFonts w:ascii="Times New Roman" w:hAnsi="Times New Roman"/>
          <w:sz w:val="24"/>
        </w:rPr>
        <w:t xml:space="preserve"> тыс. руб.;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Комплектование книжных </w:t>
      </w:r>
      <w:r>
        <w:rPr>
          <w:rFonts w:ascii="Times New Roman" w:hAnsi="Times New Roman"/>
          <w:sz w:val="24"/>
        </w:rPr>
        <w:t xml:space="preserve">фондов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573</w:t>
      </w:r>
      <w:r>
        <w:rPr>
          <w:rFonts w:ascii="Times New Roman" w:hAnsi="Times New Roman"/>
          <w:sz w:val="24"/>
        </w:rPr>
        <w:t xml:space="preserve">,</w:t>
      </w:r>
      <w:r>
        <w:rPr>
          <w:rFonts w:ascii="Times New Roman" w:hAnsi="Times New Roman"/>
          <w:sz w:val="24"/>
          <w:lang w:val="ru-RU"/>
        </w:rPr>
        <w:t xml:space="preserve">4 </w:t>
      </w:r>
      <w:r>
        <w:rPr>
          <w:rFonts w:ascii="Times New Roman" w:hAnsi="Times New Roman"/>
          <w:sz w:val="24"/>
        </w:rPr>
        <w:t xml:space="preserve">тыс. руб.</w:t>
      </w:r>
      <w:r>
        <w:rPr>
          <w:rFonts w:ascii="Times New Roman" w:hAnsi="Times New Roman"/>
          <w:sz w:val="24"/>
          <w:lang w:val="ru-RU"/>
        </w:rPr>
        <w:t xml:space="preserve"> (приобретение книг)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Развитие инфраструктуры организаций культуры</w:t>
      </w:r>
      <w:r>
        <w:rPr>
          <w:rFonts w:ascii="Times New Roman" w:hAnsi="Times New Roman"/>
          <w:sz w:val="24"/>
          <w:lang w:val="ru-RU"/>
        </w:rPr>
        <w:t xml:space="preserve"> - 1 000,0 тыс. руб. (приобретено МФУ, интерактивная панель с встраиваемом компьютером, экранированные устройства книговыдачи)</w:t>
      </w:r>
      <w:r/>
    </w:p>
    <w:p>
      <w:pPr>
        <w:ind w:firstLine="425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sz w:val="24"/>
        </w:rPr>
        <w:t xml:space="preserve">По состоянию на 01.0</w:t>
      </w:r>
      <w:r>
        <w:rPr>
          <w:rFonts w:ascii="Times New Roman" w:hAnsi="Times New Roman"/>
          <w:sz w:val="24"/>
          <w:lang w:val="ru-RU"/>
        </w:rPr>
        <w:t xml:space="preserve">1</w:t>
      </w:r>
      <w:r>
        <w:rPr>
          <w:rFonts w:ascii="Times New Roman" w:hAnsi="Times New Roman"/>
          <w:sz w:val="24"/>
        </w:rPr>
        <w:t xml:space="preserve">.202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года осуществляется деятельность клубных </w:t>
      </w:r>
      <w:r>
        <w:rPr>
          <w:rFonts w:ascii="Times New Roman" w:hAnsi="Times New Roman"/>
          <w:sz w:val="24"/>
        </w:rPr>
        <w:t xml:space="preserve">формировани</w:t>
      </w:r>
      <w:r>
        <w:rPr>
          <w:rFonts w:ascii="Times New Roman" w:hAnsi="Times New Roman"/>
          <w:sz w:val="24"/>
        </w:rPr>
        <w:t xml:space="preserve">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которых з</w:t>
      </w:r>
      <w:r>
        <w:rPr>
          <w:rFonts w:ascii="Times New Roman" w:hAnsi="Times New Roman"/>
          <w:sz w:val="24"/>
        </w:rPr>
        <w:t xml:space="preserve">анимается </w:t>
      </w:r>
      <w:r>
        <w:rPr>
          <w:rFonts w:ascii="Times New Roman" w:hAnsi="Times New Roman"/>
          <w:sz w:val="24"/>
          <w:lang w:val="ru-RU"/>
        </w:rPr>
        <w:t xml:space="preserve">3 641</w:t>
      </w:r>
      <w:r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 xml:space="preserve">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  <w:t xml:space="preserve">Из запланированных на </w:t>
      </w:r>
      <w:r>
        <w:rPr>
          <w:rFonts w:ascii="Times New Roman" w:hAnsi="Times New Roman"/>
          <w:sz w:val="24"/>
          <w:lang w:val="ru-RU"/>
        </w:rPr>
        <w:t xml:space="preserve">2023 год</w:t>
      </w:r>
      <w:r>
        <w:rPr>
          <w:rFonts w:ascii="Times New Roman" w:hAnsi="Times New Roman"/>
          <w:sz w:val="24"/>
        </w:rPr>
        <w:t xml:space="preserve"> мероприятий</w:t>
      </w:r>
      <w:r>
        <w:rPr>
          <w:rFonts w:ascii="Times New Roman" w:hAnsi="Times New Roman"/>
          <w:sz w:val="24"/>
        </w:rPr>
        <w:t xml:space="preserve"> проведены </w:t>
      </w:r>
      <w:r>
        <w:rPr>
          <w:rFonts w:ascii="Times New Roman" w:hAnsi="Times New Roman"/>
          <w:sz w:val="24"/>
          <w:lang w:val="ru-RU"/>
        </w:rPr>
        <w:t xml:space="preserve">следующие </w:t>
      </w:r>
      <w:r>
        <w:rPr>
          <w:rFonts w:ascii="Times New Roman" w:hAnsi="Times New Roman"/>
          <w:sz w:val="24"/>
        </w:rPr>
        <w:t xml:space="preserve">массовые мероприятия: новогодние, рождественские, масленичные гуляния, утренники,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народное гуляние, посвященное 9</w:t>
      </w:r>
      <w:r>
        <w:rPr>
          <w:rFonts w:ascii="Times New Roman" w:hAnsi="Times New Roman"/>
          <w:sz w:val="24"/>
          <w:lang w:val="ru-RU"/>
        </w:rPr>
        <w:t xml:space="preserve">3</w:t>
      </w:r>
      <w:r>
        <w:rPr>
          <w:rFonts w:ascii="Times New Roman" w:hAnsi="Times New Roman"/>
          <w:sz w:val="24"/>
        </w:rPr>
        <w:t xml:space="preserve">-й годовщине образования города Сланцы, Праздник выпускников, праздничный концерт, посвященный Дню защиты детей, Дню молодежи,  Государственные праздники, посвященные Дню Победы, Дню России</w:t>
      </w:r>
      <w:r>
        <w:rPr>
          <w:rFonts w:ascii="Times New Roman" w:hAnsi="Times New Roman"/>
          <w:sz w:val="24"/>
        </w:rPr>
        <w:t xml:space="preserve">, праздничный концерт «Крымская весна», </w:t>
      </w:r>
      <w:r>
        <w:rPr>
          <w:rFonts w:ascii="Times New Roman" w:hAnsi="Times New Roman"/>
          <w:sz w:val="24"/>
        </w:rPr>
        <w:t xml:space="preserve">проходят мероприятия, посвященные 100-летию </w:t>
      </w:r>
      <w:r>
        <w:rPr>
          <w:rFonts w:ascii="Times New Roman" w:hAnsi="Times New Roman"/>
          <w:sz w:val="24"/>
          <w:lang w:val="ru-RU"/>
        </w:rPr>
        <w:t xml:space="preserve">Министерства спорта</w:t>
      </w:r>
      <w:r>
        <w:rPr>
          <w:rFonts w:ascii="Times New Roman" w:hAnsi="Times New Roman"/>
          <w:sz w:val="24"/>
        </w:rPr>
        <w:t xml:space="preserve">, Солнечные встречи, Неделя детской и юношеской книги, Беляевские чтения, </w:t>
      </w:r>
      <w:r>
        <w:rPr>
          <w:rFonts w:ascii="Times New Roman" w:hAnsi="Times New Roman"/>
          <w:sz w:val="24"/>
        </w:rPr>
        <w:t xml:space="preserve">Библионочь</w:t>
      </w:r>
      <w:r>
        <w:rPr>
          <w:rFonts w:ascii="Times New Roman" w:hAnsi="Times New Roman"/>
          <w:sz w:val="24"/>
        </w:rPr>
        <w:t xml:space="preserve"> и др.</w:t>
      </w:r>
      <w:r/>
    </w:p>
    <w:p>
      <w:pPr>
        <w:ind w:firstLine="731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</w:t>
      </w:r>
      <w:r>
        <w:rPr>
          <w:rFonts w:ascii="Times New Roman" w:hAnsi="Times New Roman"/>
          <w:sz w:val="24"/>
        </w:rPr>
        <w:t xml:space="preserve">существля</w:t>
      </w:r>
      <w:r>
        <w:rPr>
          <w:rFonts w:ascii="Times New Roman" w:hAnsi="Times New Roman"/>
          <w:sz w:val="24"/>
        </w:rPr>
        <w:t xml:space="preserve">лись</w:t>
      </w:r>
      <w:r>
        <w:rPr>
          <w:rFonts w:ascii="Times New Roman" w:hAnsi="Times New Roman"/>
          <w:sz w:val="24"/>
        </w:rPr>
        <w:t xml:space="preserve"> мер</w:t>
      </w:r>
      <w:r>
        <w:rPr>
          <w:rFonts w:ascii="Times New Roman" w:hAnsi="Times New Roman"/>
          <w:sz w:val="24"/>
        </w:rPr>
        <w:t xml:space="preserve">оприятия</w:t>
      </w:r>
      <w:r>
        <w:rPr>
          <w:rFonts w:ascii="Times New Roman" w:hAnsi="Times New Roman"/>
          <w:sz w:val="24"/>
        </w:rPr>
        <w:t xml:space="preserve">, направленны</w:t>
      </w:r>
      <w:r>
        <w:rPr>
          <w:rFonts w:ascii="Times New Roman" w:hAnsi="Times New Roman"/>
          <w:sz w:val="24"/>
        </w:rPr>
        <w:t xml:space="preserve">е</w:t>
      </w:r>
      <w:r>
        <w:rPr>
          <w:rFonts w:ascii="Times New Roman" w:hAnsi="Times New Roman"/>
          <w:sz w:val="24"/>
        </w:rPr>
        <w:t xml:space="preserve"> на создание праздничного настроения населению Сланцевского городского поселения при проведении общегородских мероприятий, посвященных календарным и памятным датам Российской Федерации, Ленинградской области, города Сланцы</w:t>
      </w:r>
      <w:r>
        <w:rPr>
          <w:rFonts w:ascii="Times New Roman" w:hAnsi="Times New Roman"/>
          <w:sz w:val="24"/>
        </w:rPr>
        <w:t xml:space="preserve"> – украшение праздничными баннерами, флагами и другими элементами к 7</w:t>
      </w:r>
      <w:r>
        <w:rPr>
          <w:rFonts w:ascii="Times New Roman" w:hAnsi="Times New Roman"/>
          <w:sz w:val="24"/>
          <w:lang w:val="ru-RU"/>
        </w:rPr>
        <w:t xml:space="preserve">8</w:t>
      </w:r>
      <w:r>
        <w:rPr>
          <w:rFonts w:ascii="Times New Roman" w:hAnsi="Times New Roman"/>
          <w:sz w:val="24"/>
        </w:rPr>
        <w:t xml:space="preserve">-летию Победы в Великой Отечественной войне, новогодним мероприятиям и др.</w:t>
      </w:r>
      <w:r/>
    </w:p>
    <w:p>
      <w:pPr>
        <w:pStyle w:val="82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«Развитие молодежной политики на территории Сланцевского городского поселения»</w:t>
      </w:r>
      <w:r>
        <w:rPr>
          <w:rFonts w:ascii="Times New Roman" w:hAnsi="Times New Roman"/>
          <w:b/>
          <w:color w:val="000000"/>
          <w:sz w:val="24"/>
        </w:rPr>
        <w:t xml:space="preserve">.</w:t>
      </w:r>
      <w:r/>
    </w:p>
    <w:p>
      <w:pPr>
        <w:pStyle w:val="825"/>
        <w:ind w:left="0" w:firstLine="567"/>
        <w:jc w:val="both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  <w:t xml:space="preserve">Растет востребованность молодежного ко</w:t>
      </w:r>
      <w:r>
        <w:rPr>
          <w:rFonts w:ascii="Times New Roman" w:hAnsi="Times New Roman"/>
          <w:sz w:val="24"/>
        </w:rPr>
        <w:t xml:space="preserve">воркинг-центра, </w:t>
      </w:r>
      <w:r>
        <w:rPr>
          <w:rFonts w:ascii="Times New Roman" w:hAnsi="Times New Roman"/>
          <w:sz w:val="24"/>
          <w:lang w:val="ru-RU"/>
        </w:rPr>
        <w:t xml:space="preserve">который является</w:t>
      </w:r>
      <w:r>
        <w:rPr>
          <w:rFonts w:ascii="Times New Roman" w:hAnsi="Times New Roman"/>
          <w:sz w:val="24"/>
        </w:rPr>
        <w:t xml:space="preserve"> структурн</w:t>
      </w:r>
      <w:r>
        <w:rPr>
          <w:rFonts w:ascii="Times New Roman" w:hAnsi="Times New Roman"/>
          <w:sz w:val="24"/>
          <w:lang w:val="ru-RU"/>
        </w:rPr>
        <w:t xml:space="preserve">ым</w:t>
      </w:r>
      <w:r>
        <w:rPr>
          <w:rFonts w:ascii="Times New Roman" w:hAnsi="Times New Roman"/>
          <w:sz w:val="24"/>
        </w:rPr>
        <w:t xml:space="preserve"> подразделени</w:t>
      </w:r>
      <w:r>
        <w:rPr>
          <w:rFonts w:ascii="Times New Roman" w:hAnsi="Times New Roman"/>
          <w:sz w:val="24"/>
          <w:lang w:val="ru-RU"/>
        </w:rPr>
        <w:t xml:space="preserve">ем</w:t>
      </w:r>
      <w:r>
        <w:rPr>
          <w:rFonts w:ascii="Times New Roman" w:hAnsi="Times New Roman"/>
          <w:sz w:val="24"/>
        </w:rPr>
        <w:t xml:space="preserve"> Сланцевской библиотеки. Он имеет максимально удобный для жителей режим работы и расположение, хорошо технически оборудован, привлекает новых партнеров для реализации совместных проектов. </w:t>
      </w:r>
      <w:r/>
    </w:p>
    <w:p>
      <w:pPr>
        <w:pStyle w:val="825"/>
        <w:ind w:left="0" w:firstLine="709"/>
        <w:jc w:val="both"/>
        <w:tabs>
          <w:tab w:val="left" w:pos="56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Молодежный коворкинг-центр «Трансформация» </w:t>
      </w:r>
      <w:r>
        <w:rPr>
          <w:rFonts w:ascii="Times New Roman" w:hAnsi="Times New Roman"/>
          <w:sz w:val="24"/>
        </w:rPr>
        <w:t xml:space="preserve">- это организованное пространство</w:t>
      </w:r>
      <w:r>
        <w:rPr>
          <w:rFonts w:ascii="Times New Roman" w:hAnsi="Times New Roman"/>
          <w:sz w:val="24"/>
        </w:rPr>
        <w:t xml:space="preserve">, оснащенное оборудованными рабочими местами с доступом к высокоскоростному интернету для организации и ведения обучающей, образовательной, добровольческой предпринимательской, общественной деятельности.</w:t>
      </w:r>
      <w:r/>
    </w:p>
    <w:p>
      <w:pPr>
        <w:pStyle w:val="825"/>
        <w:ind w:left="0" w:firstLine="709"/>
        <w:jc w:val="both"/>
        <w:tabs>
          <w:tab w:val="left" w:pos="56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направлениями деятельности коворкинг-центра «Трансформация» являются: молодежное предпринимательство, цифровая профориентация, финансовая грамотность, социальное проектирование и интеллектуальный досуг. </w:t>
      </w:r>
      <w:r/>
    </w:p>
    <w:p>
      <w:pPr>
        <w:pStyle w:val="825"/>
        <w:ind w:left="0" w:firstLine="567"/>
        <w:jc w:val="both"/>
        <w:tabs>
          <w:tab w:val="left" w:pos="567" w:leader="none"/>
          <w:tab w:val="left" w:pos="106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Молодежный коворкинг-центр «Трансформация» является структурным подразделением Сланцевской библиотеки. </w:t>
      </w:r>
      <w:r>
        <w:rPr>
          <w:rFonts w:ascii="Times New Roman" w:hAnsi="Times New Roman"/>
          <w:sz w:val="24"/>
        </w:rPr>
        <w:t xml:space="preserve">П</w:t>
      </w:r>
      <w:r>
        <w:rPr>
          <w:rFonts w:ascii="Times New Roman" w:hAnsi="Times New Roman"/>
          <w:sz w:val="24"/>
        </w:rPr>
        <w:t xml:space="preserve">осетителям начали выдавать электронные читательские билеты. Запросы на книги у молодёжи растут, в связи с этим формируется книжный фонд молодежного коворкинга.  Численность сотрудников – 3 штатные единицы: руководитель и 2 цифровых консультанта. </w:t>
      </w:r>
      <w:r/>
    </w:p>
    <w:p>
      <w:pPr>
        <w:pStyle w:val="825"/>
        <w:ind w:left="0" w:firstLine="567"/>
        <w:jc w:val="both"/>
        <w:tabs>
          <w:tab w:val="left" w:pos="567" w:leader="none"/>
          <w:tab w:val="left" w:pos="106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highlight w:val="none"/>
          <w:lang w:val="ru-RU"/>
        </w:rPr>
        <w:t xml:space="preserve">В 2022 году Сл</w:t>
      </w:r>
      <w:r>
        <w:rPr>
          <w:rFonts w:ascii="Times New Roman" w:hAnsi="Times New Roman"/>
          <w:sz w:val="24"/>
          <w:highlight w:val="none"/>
          <w:lang w:val="ru-RU"/>
        </w:rPr>
        <w:t xml:space="preserve">анцевская библиотека стала победителем конкурса на выделение субсидии из областного бюджета в размере 5 000,00 тыс. руб. на создание коворкинг-центра на базе библиотеки в мкр. Лучки. Открытие обновленного пространства состоялось 26 августа 2023 года.</w:t>
      </w:r>
      <w:r>
        <w:rPr>
          <w:rFonts w:ascii="Times New Roman" w:hAnsi="Times New Roman"/>
          <w:sz w:val="24"/>
          <w:highlight w:val="none"/>
        </w:rPr>
      </w:r>
      <w:r/>
    </w:p>
    <w:p>
      <w:pPr>
        <w:pStyle w:val="825"/>
        <w:ind w:left="0" w:firstLine="567"/>
        <w:jc w:val="both"/>
        <w:tabs>
          <w:tab w:val="left" w:pos="567" w:leader="none"/>
          <w:tab w:val="left" w:pos="106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  <w:r/>
    </w:p>
    <w:p>
      <w:pPr>
        <w:pStyle w:val="825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825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«Развитие физической культуры и спорта на террито</w:t>
      </w:r>
      <w:r>
        <w:rPr>
          <w:rFonts w:ascii="Times New Roman" w:hAnsi="Times New Roman"/>
          <w:b/>
          <w:sz w:val="24"/>
        </w:rPr>
        <w:t xml:space="preserve">р</w:t>
      </w:r>
      <w:r>
        <w:rPr>
          <w:rFonts w:ascii="Times New Roman" w:hAnsi="Times New Roman"/>
          <w:b/>
          <w:sz w:val="24"/>
        </w:rPr>
        <w:t xml:space="preserve">ии Сланцевского городского поселения».</w:t>
      </w:r>
      <w:r/>
    </w:p>
    <w:p>
      <w:pPr>
        <w:pStyle w:val="827"/>
        <w:ind w:firstLine="567"/>
        <w:jc w:val="both"/>
        <w:rPr>
          <w:rFonts w:ascii="Times New Roman" w:hAnsi="Times New Roman"/>
          <w:color w:val="000000"/>
          <w:sz w:val="24"/>
          <w:highlight w:val="white"/>
        </w:rPr>
      </w:pPr>
      <w:r/>
      <w:bookmarkStart w:id="1" w:name="_Hlk9425659"/>
      <w:r/>
      <w:bookmarkEnd w:id="1"/>
      <w:r>
        <w:rPr>
          <w:rFonts w:ascii="Times New Roman" w:hAnsi="Times New Roman"/>
          <w:color w:val="000000"/>
          <w:sz w:val="24"/>
        </w:rPr>
        <w:t xml:space="preserve">Мероприятия </w:t>
      </w:r>
      <w:r>
        <w:rPr>
          <w:rFonts w:ascii="Times New Roman" w:hAnsi="Times New Roman"/>
          <w:color w:val="000000"/>
          <w:sz w:val="24"/>
        </w:rPr>
        <w:t xml:space="preserve">по развитию физической культуры и массового спорта</w:t>
      </w:r>
      <w:r>
        <w:rPr>
          <w:rFonts w:ascii="Times New Roman" w:hAnsi="Times New Roman"/>
          <w:color w:val="000000"/>
          <w:sz w:val="24"/>
        </w:rPr>
        <w:t xml:space="preserve"> в Сланцевском </w:t>
      </w:r>
      <w:r>
        <w:rPr>
          <w:rFonts w:ascii="Times New Roman" w:hAnsi="Times New Roman"/>
          <w:color w:val="000000"/>
          <w:sz w:val="24"/>
        </w:rPr>
        <w:t xml:space="preserve">муниципальном районе</w:t>
      </w:r>
      <w:r>
        <w:rPr>
          <w:rFonts w:ascii="Times New Roman" w:hAnsi="Times New Roman"/>
          <w:color w:val="000000"/>
          <w:sz w:val="24"/>
        </w:rPr>
        <w:t xml:space="preserve"> осуществляются </w:t>
      </w:r>
      <w:r>
        <w:rPr>
          <w:rFonts w:ascii="Times New Roman" w:hAnsi="Times New Roman"/>
          <w:color w:val="000000"/>
          <w:sz w:val="24"/>
        </w:rPr>
        <w:t xml:space="preserve">муниципальным казенным учреждением «Физкультурно-оздоровительный комплекс Сланцевского муниципального района». </w:t>
      </w:r>
      <w:r>
        <w:rPr>
          <w:rFonts w:ascii="Times New Roman" w:hAnsi="Times New Roman"/>
          <w:color w:val="000000"/>
          <w:sz w:val="24"/>
          <w:lang w:val="ru-RU"/>
        </w:rPr>
        <w:t xml:space="preserve">Полномочия </w:t>
      </w:r>
      <w:r>
        <w:rPr>
          <w:rFonts w:ascii="Times New Roman" w:hAnsi="Times New Roman"/>
          <w:color w:val="000000"/>
          <w:sz w:val="24"/>
          <w:highlight w:val="white"/>
        </w:rPr>
        <w:t xml:space="preserve">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</w:t>
      </w:r>
      <w:r>
        <w:rPr>
          <w:rFonts w:ascii="Times New Roman" w:hAnsi="Times New Roman"/>
          <w:color w:val="000000"/>
          <w:sz w:val="24"/>
          <w:highlight w:val="white"/>
        </w:rPr>
        <w:t xml:space="preserve">ий были переданы на районный уровень. Осуществление данных полномочий возложено на 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«</w:t>
      </w:r>
      <w:r>
        <w:rPr>
          <w:rFonts w:ascii="Times New Roman" w:hAnsi="Times New Roman"/>
          <w:color w:val="000000"/>
          <w:sz w:val="24"/>
          <w:highlight w:val="white"/>
        </w:rPr>
        <w:t xml:space="preserve">Физкультурно-оздоровительный комплекс 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Сланцевского муниципального района</w:t>
      </w:r>
      <w:r>
        <w:rPr>
          <w:rFonts w:ascii="Times New Roman" w:hAnsi="Times New Roman"/>
          <w:color w:val="000000"/>
          <w:sz w:val="24"/>
          <w:highlight w:val="white"/>
        </w:rPr>
        <w:t xml:space="preserve">» с выделением на их реализацию межбюджетного трансферта из городского бюджета. Финансирование в 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                  </w:t>
      </w:r>
      <w:r>
        <w:rPr>
          <w:rFonts w:ascii="Times New Roman" w:hAnsi="Times New Roman"/>
          <w:color w:val="000000"/>
          <w:sz w:val="24"/>
          <w:highlight w:val="white"/>
        </w:rPr>
        <w:t xml:space="preserve">202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3</w:t>
      </w:r>
      <w:r>
        <w:rPr>
          <w:rFonts w:ascii="Times New Roman" w:hAnsi="Times New Roman"/>
          <w:color w:val="000000"/>
          <w:sz w:val="24"/>
          <w:highlight w:val="white"/>
        </w:rPr>
        <w:t xml:space="preserve"> году составило 1 млн. руб.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На территории Сланцевского муниципального района находится 1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49</w:t>
      </w:r>
      <w:r>
        <w:rPr>
          <w:rFonts w:ascii="Times New Roman" w:hAnsi="Times New Roman"/>
          <w:color w:val="000000"/>
          <w:sz w:val="24"/>
          <w:highlight w:val="white"/>
        </w:rPr>
        <w:t xml:space="preserve"> спортивн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ых</w:t>
      </w:r>
      <w:r>
        <w:rPr>
          <w:rFonts w:ascii="Times New Roman" w:hAnsi="Times New Roman"/>
          <w:color w:val="000000"/>
          <w:sz w:val="24"/>
          <w:highlight w:val="white"/>
        </w:rPr>
        <w:t xml:space="preserve"> сооружени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й</w:t>
      </w:r>
      <w:r>
        <w:rPr>
          <w:rFonts w:ascii="Times New Roman" w:hAnsi="Times New Roman"/>
          <w:color w:val="000000"/>
          <w:sz w:val="24"/>
          <w:highlight w:val="white"/>
        </w:rPr>
        <w:t xml:space="preserve"> различных</w:t>
      </w:r>
      <w:r>
        <w:rPr>
          <w:rFonts w:ascii="Times New Roman" w:hAnsi="Times New Roman"/>
          <w:color w:val="000000"/>
          <w:sz w:val="24"/>
          <w:highlight w:val="white"/>
        </w:rPr>
        <w:t xml:space="preserve"> форм собственности. Два спортивных комплекса (Химик, Шахтёр), открытое плоскостное сооружение МКУ «ФОК СМР» работают в режиме свободного посещения всеми желающими, что, безусловно, является положительным фактором оздоровления жителей района. </w:t>
      </w:r>
      <w:r/>
    </w:p>
    <w:p>
      <w:pPr>
        <w:pStyle w:val="825"/>
        <w:ind w:left="0" w:firstLine="7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Осуществлялись мероприятия по поддержке общественных организаций.</w:t>
      </w:r>
      <w:r/>
    </w:p>
    <w:p>
      <w:pPr>
        <w:pStyle w:val="825"/>
        <w:ind w:left="0" w:firstLine="7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Так, на сегодняшний день выстроены партнёрские взаимоотношения </w:t>
      </w:r>
      <w:r>
        <w:rPr>
          <w:rFonts w:ascii="Times New Roman" w:hAnsi="Times New Roman"/>
          <w:color w:val="000000"/>
          <w:sz w:val="24"/>
          <w:highlight w:val="white"/>
        </w:rPr>
        <w:t xml:space="preserve">с  общественными</w:t>
      </w:r>
      <w:r>
        <w:rPr>
          <w:rFonts w:ascii="Times New Roman" w:hAnsi="Times New Roman"/>
          <w:color w:val="000000"/>
          <w:sz w:val="24"/>
          <w:highlight w:val="white"/>
        </w:rPr>
        <w:t xml:space="preserve"> объединениями по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видам спорта. Осуществляется взаимодействие с общественными организациями:</w:t>
      </w:r>
      <w:r/>
    </w:p>
    <w:p>
      <w:pPr>
        <w:pStyle w:val="825"/>
        <w:ind w:left="0" w:firstLine="7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- Общественная организация «Автомобильного и мотоциклетного спорта Сланцевского района «АМС», развивающая виды спорта мотокросс и картинг</w:t>
      </w:r>
      <w:r>
        <w:rPr>
          <w:rFonts w:ascii="Times New Roman" w:hAnsi="Times New Roman"/>
          <w:color w:val="000000"/>
          <w:sz w:val="24"/>
          <w:highlight w:val="white"/>
        </w:rPr>
        <w:t xml:space="preserve">,</w:t>
      </w:r>
      <w:r/>
    </w:p>
    <w:p>
      <w:pPr>
        <w:pStyle w:val="825"/>
        <w:ind w:left="0" w:firstLine="7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- Клуб бокса им. С.В. Мальченко, развивающая бокс</w:t>
      </w:r>
      <w:r>
        <w:rPr>
          <w:rFonts w:ascii="Times New Roman" w:hAnsi="Times New Roman"/>
          <w:color w:val="000000"/>
          <w:sz w:val="24"/>
          <w:highlight w:val="white"/>
        </w:rPr>
        <w:t xml:space="preserve">,</w:t>
      </w:r>
      <w:r/>
    </w:p>
    <w:p>
      <w:pPr>
        <w:pStyle w:val="825"/>
        <w:ind w:left="0" w:firstLine="720"/>
        <w:jc w:val="both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- Некоммерческое партнерство «Спортивно-оздоровительный центр «Феникс», развивающее тхэквондо (ИТФ)</w:t>
      </w:r>
      <w:r>
        <w:rPr>
          <w:rFonts w:ascii="Times New Roman" w:hAnsi="Times New Roman"/>
          <w:color w:val="000000"/>
          <w:sz w:val="24"/>
          <w:highlight w:val="white"/>
        </w:rPr>
        <w:t xml:space="preserve">,</w:t>
      </w:r>
      <w:r/>
    </w:p>
    <w:p>
      <w:pPr>
        <w:pStyle w:val="826"/>
        <w:ind w:left="0" w:firstLine="720"/>
        <w:jc w:val="both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спортивные общественные объединения по различным видам спорта</w:t>
      </w:r>
      <w:r>
        <w:rPr>
          <w:rFonts w:ascii="Times New Roman" w:hAnsi="Times New Roman"/>
          <w:sz w:val="24"/>
          <w:highlight w:val="white"/>
        </w:rPr>
      </w:r>
      <w:r/>
    </w:p>
    <w:p>
      <w:pPr>
        <w:pStyle w:val="825"/>
        <w:ind w:left="0" w:firstLine="7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- поисковый отряд «Память».</w:t>
      </w:r>
      <w:r/>
    </w:p>
    <w:p>
      <w:pPr>
        <w:pStyle w:val="827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муниципального района оказывает имущественную поддержку общественным организациям путем передачи им в безвозмездное пользование муниципального имущества: спортивный и другой инвентарь.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Продолжалось внедрение Всероссийского физкультурно-спортивного комплекса «Готов к труду и обороне» на территории Сланцевского района, реализацией которого занимается муниципальный Центр тестирования ГТО (на базе </w:t>
      </w:r>
      <w:r>
        <w:rPr>
          <w:rFonts w:ascii="Times New Roman" w:hAnsi="Times New Roman"/>
          <w:sz w:val="24"/>
          <w:highlight w:val="white"/>
          <w:lang w:val="ru-RU"/>
        </w:rPr>
        <w:t xml:space="preserve">«ФОК СМР</w:t>
      </w:r>
      <w:r>
        <w:rPr>
          <w:rFonts w:ascii="Times New Roman" w:hAnsi="Times New Roman"/>
          <w:sz w:val="24"/>
          <w:highlight w:val="white"/>
        </w:rPr>
        <w:t xml:space="preserve">»). </w:t>
      </w:r>
      <w:r/>
    </w:p>
    <w:p>
      <w:pPr>
        <w:pStyle w:val="82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 </w:t>
      </w: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3</w:t>
      </w:r>
      <w:r>
        <w:rPr>
          <w:rFonts w:ascii="Times New Roman" w:hAnsi="Times New Roman"/>
          <w:sz w:val="24"/>
        </w:rPr>
        <w:t xml:space="preserve">  год</w:t>
      </w:r>
      <w:r>
        <w:rPr>
          <w:rFonts w:ascii="Times New Roman" w:hAnsi="Times New Roman"/>
          <w:sz w:val="24"/>
          <w:lang w:val="ru-RU"/>
        </w:rPr>
        <w:t xml:space="preserve">у</w:t>
      </w:r>
      <w:r>
        <w:rPr>
          <w:rFonts w:ascii="Times New Roman" w:hAnsi="Times New Roman"/>
          <w:sz w:val="24"/>
        </w:rPr>
        <w:t xml:space="preserve"> были проведены значимые мероприятия:</w:t>
      </w:r>
      <w:r/>
    </w:p>
    <w:p>
      <w:pPr>
        <w:pStyle w:val="825"/>
        <w:ind w:left="0" w:firstLine="567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highlight w:val="white"/>
        </w:rPr>
        <w:t xml:space="preserve">проходил Чемпионат Сланцевского района по баскетболу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 xml:space="preserve">в универсальном зале прошли </w:t>
      </w:r>
      <w:r>
        <w:rPr>
          <w:rFonts w:ascii="Times New Roman" w:hAnsi="Times New Roman"/>
          <w:sz w:val="24"/>
        </w:rPr>
        <w:t xml:space="preserve">Спортивно-патриотические соревнования на переходящий "Кубок Ветеранов локальных войн и военных конфликтов Сланцевского муниципального района"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 xml:space="preserve">для занимающихся в группе скандинавской ходьбы, прошли соревнования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sz w:val="24"/>
          <w:highlight w:val="white"/>
        </w:rPr>
        <w:t xml:space="preserve"> </w:t>
      </w:r>
      <w:r>
        <w:rPr>
          <w:rFonts w:ascii="Times New Roman" w:hAnsi="Times New Roman"/>
          <w:sz w:val="24"/>
          <w:highlight w:val="white"/>
          <w:lang w:val="ru-RU"/>
        </w:rPr>
        <w:t xml:space="preserve">прошли физкультурные и спортивные мероприятий, посвященные памятным и значимым датам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для детей и подросков, посещающих спортивные секции,</w:t>
      </w:r>
      <w:r>
        <w:rPr>
          <w:rFonts w:ascii="Times New Roman" w:hAnsi="Times New Roman"/>
          <w:color w:val="000000"/>
          <w:sz w:val="24"/>
          <w:highlight w:val="white"/>
        </w:rPr>
        <w:t xml:space="preserve"> проведены информационно-пропагандистские занятия по Правилам дорожного движения 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с участием представиля ГИБДД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 xml:space="preserve">прошли турниры по стритболу и пляжному волейболу, посвящённые Дню Молодёжи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 xml:space="preserve"> команда Сланцевского района приняла участие в центральном старте Лыжни России </w:t>
      </w:r>
      <w:r>
        <w:rPr>
          <w:rFonts w:ascii="Times New Roman" w:hAnsi="Times New Roman"/>
          <w:color w:val="000000"/>
          <w:sz w:val="24"/>
          <w:highlight w:val="white"/>
        </w:rPr>
        <w:t xml:space="preserve">–</w:t>
      </w:r>
      <w:r>
        <w:rPr>
          <w:rFonts w:ascii="Times New Roman" w:hAnsi="Times New Roman"/>
          <w:color w:val="000000"/>
          <w:sz w:val="24"/>
          <w:highlight w:val="white"/>
        </w:rPr>
        <w:t xml:space="preserve"> 202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3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sz w:val="24"/>
        </w:rPr>
        <w:t xml:space="preserve">команды  приняли участие в Областных соревнованиях</w:t>
      </w:r>
      <w:r>
        <w:rPr>
          <w:rFonts w:ascii="Times New Roman" w:hAnsi="Times New Roman"/>
          <w:sz w:val="24"/>
          <w:lang w:val="ru-RU"/>
        </w:rPr>
        <w:t xml:space="preserve">, а также в рамках межведомственного взаиможействия проводились мероприятий для детей из летних оздоровительных лагерей.</w:t>
      </w:r>
      <w:r>
        <w:rPr>
          <w:rFonts w:ascii="Times New Roman" w:hAnsi="Times New Roman"/>
          <w:color w:val="000000"/>
          <w:sz w:val="24"/>
          <w:highlight w:val="whit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Оценка эффективности реализации программы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Оценка эффективности реализации программы производится на основе анализа: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степени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достижения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целей и 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задач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путем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сопоставления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фактически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достигнутых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значений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индикаторов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программы и 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плановых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значений в соответствии с приложением к подпрограмме;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– степени реализации мероприятий программы на основе сопоставления ожидаемых фактически полученных результатов по годам на основе ежегодных планов реализации программы.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Степень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достижения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целей и 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задач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подпрограммы (Сд) определяется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формуле:</w:t>
      </w:r>
      <w:r/>
    </w:p>
    <w:p>
      <w:pPr>
        <w:ind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Сд = Зф / Зп x 100%, где: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Зф </w:t>
      </w:r>
      <w:r>
        <w:rPr>
          <w:rFonts w:ascii="Times New Roman" w:hAnsi="Times New Roman"/>
          <w:sz w:val="24"/>
        </w:rPr>
        <w:t xml:space="preserve">–</w:t>
      </w:r>
      <w:r>
        <w:rPr>
          <w:rFonts w:ascii="Times New Roman" w:hAnsi="Times New Roman"/>
          <w:sz w:val="24"/>
        </w:rPr>
        <w:t xml:space="preserve"> фактическое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индикатора (показателя) программы;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Зп </w:t>
      </w:r>
      <w:r>
        <w:rPr>
          <w:rFonts w:ascii="Times New Roman" w:hAnsi="Times New Roman"/>
          <w:sz w:val="24"/>
        </w:rPr>
        <w:t xml:space="preserve">–</w:t>
      </w:r>
      <w:r>
        <w:rPr>
          <w:rFonts w:ascii="Times New Roman" w:hAnsi="Times New Roman"/>
          <w:sz w:val="24"/>
        </w:rPr>
        <w:t xml:space="preserve"> плановое з</w:t>
      </w:r>
      <w:r>
        <w:rPr>
          <w:rFonts w:ascii="Times New Roman" w:hAnsi="Times New Roman"/>
          <w:sz w:val="24"/>
        </w:rPr>
        <w:t xml:space="preserve">начение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индикатора (показателя) программы.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оценки эффективности реализации программы применяются следующие параметры: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высокий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эффективности: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достигнуты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значения 95 процентов и более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показателей </w:t>
      </w:r>
      <w:r>
        <w:rPr>
          <w:rFonts w:ascii="Times New Roman" w:hAnsi="Times New Roman"/>
          <w:sz w:val="24"/>
        </w:rPr>
        <w:t xml:space="preserve">программы;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менее 95 проц. мероприятий, запланированных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отчетный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год, выполнены в полном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объеме;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удовлетворительный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эффективности: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достигнуты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значения 80 проц. и более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показателей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подпрограммы;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менее 80 проц. мероприятий, запланированных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отчетный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год, выполнены в полном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объеме;</w:t>
      </w:r>
      <w:r/>
    </w:p>
    <w:p>
      <w:pPr>
        <w:ind w:firstLine="709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3) неудовлетворительный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эффективности:</w:t>
      </w:r>
      <w:r/>
    </w:p>
    <w:p>
      <w:pPr>
        <w:ind w:firstLine="709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реализация подпрограммы не отвечает критериям, указанным в пунктах 1 и 2.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color w:val="35bd35"/>
          <w:sz w:val="24"/>
        </w:rPr>
      </w:pPr>
      <w:r>
        <w:rPr>
          <w:rFonts w:ascii="Times New Roman" w:hAnsi="Times New Roman"/>
          <w:b w:val="0"/>
          <w:color w:val="35bd35"/>
          <w:sz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По итогам  202</w:t>
      </w:r>
      <w:r>
        <w:rPr>
          <w:rFonts w:ascii="Times New Roman" w:hAnsi="Times New Roman"/>
          <w:sz w:val="24"/>
          <w:lang w:val="ru-RU"/>
        </w:rPr>
        <w:t xml:space="preserve">3</w:t>
      </w:r>
      <w:r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color w:val="000000"/>
          <w:sz w:val="24"/>
        </w:rPr>
        <w:t xml:space="preserve">оце</w:t>
      </w:r>
      <w:r>
        <w:rPr>
          <w:rFonts w:ascii="Times New Roman" w:hAnsi="Times New Roman"/>
          <w:color w:val="000000"/>
          <w:sz w:val="24"/>
        </w:rPr>
        <w:t xml:space="preserve">нка эффективности муниципальной программы составила </w:t>
      </w:r>
      <w:r>
        <w:rPr>
          <w:rFonts w:ascii="Times New Roman" w:hAnsi="Times New Roman"/>
          <w:color w:val="000000"/>
          <w:sz w:val="24"/>
          <w:lang w:val="ru-RU"/>
        </w:rPr>
        <w:t xml:space="preserve">100</w:t>
      </w:r>
      <w:r>
        <w:rPr>
          <w:rFonts w:ascii="Times New Roman" w:hAnsi="Times New Roman"/>
          <w:color w:val="000000"/>
          <w:sz w:val="24"/>
        </w:rPr>
        <w:t xml:space="preserve">%.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35bd35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35bd35"/>
          <w:sz w:val="24"/>
          <w:szCs w:val="24"/>
        </w:rPr>
      </w:r>
      <w:r>
        <w:rPr>
          <w:rFonts w:ascii="Times New Roman" w:hAnsi="Times New Roman"/>
          <w:b w:val="0"/>
          <w:bCs w:val="0"/>
          <w:color w:val="35bd35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35bd35"/>
          <w:sz w:val="24"/>
          <w:szCs w:val="24"/>
        </w:rPr>
      </w:pPr>
      <w:r>
        <w:rPr>
          <w:rFonts w:ascii="Times New Roman" w:hAnsi="Times New Roman"/>
          <w:color w:val="000000"/>
          <w:sz w:val="24"/>
          <w:highlight w:val="none"/>
        </w:rPr>
      </w:r>
      <w:r>
        <w:rPr>
          <w:rFonts w:ascii="Times New Roman" w:hAnsi="Times New Roman"/>
          <w:color w:val="000000"/>
          <w:sz w:val="24"/>
          <w:highlight w:val="none"/>
        </w:rPr>
      </w:r>
      <w:r/>
    </w:p>
    <w:p>
      <w:pPr>
        <w:ind w:firstLine="142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сектора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культуре, спорту</w:t>
      </w:r>
      <w:r/>
    </w:p>
    <w:p>
      <w:pPr>
        <w:ind w:firstLine="142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молодежной политике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/>
    </w:p>
    <w:p>
      <w:pPr>
        <w:ind w:firstLine="142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Сланцевского муниципального района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Т.С. Лакшина</w:t>
      </w:r>
      <w:r/>
    </w:p>
    <w:sectPr>
      <w:footnotePr/>
      <w:endnotePr/>
      <w:type w:val="nextPage"/>
      <w:pgSz w:w="11906" w:h="16838" w:orient="portrait"/>
      <w:pgMar w:top="426" w:right="850" w:bottom="851" w:left="1701" w:header="72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Wingdings">
    <w:panose1 w:val="05000000000000000000"/>
  </w:font>
  <w:font w:name="Liberation Sans">
    <w:panose1 w:val="020B0604020202020204"/>
  </w:font>
  <w:font w:name="Times New Roman">
    <w:panose1 w:val="02020603050405020304"/>
  </w:font>
  <w:font w:name="Consolas">
    <w:panose1 w:val="020B0609020204030204"/>
  </w:font>
  <w:font w:name="XO Thames">
    <w:panose1 w:val="02000603000000000000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pStyle w:val="829"/>
      <w:isLgl w:val="false"/>
      <w:suff w:val="tab"/>
      <w:lvlText w:val=""/>
      <w:lvlJc w:val="left"/>
      <w:pPr>
        <w:ind w:left="926" w:hanging="360"/>
        <w:tabs>
          <w:tab w:val="left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6">
    <w:name w:val="Heading 1 Char"/>
    <w:basedOn w:val="860"/>
    <w:link w:val="844"/>
    <w:uiPriority w:val="9"/>
    <w:rPr>
      <w:rFonts w:ascii="Arial" w:hAnsi="Arial" w:eastAsia="Arial" w:cs="Arial"/>
      <w:sz w:val="40"/>
      <w:szCs w:val="40"/>
    </w:rPr>
  </w:style>
  <w:style w:type="character" w:styleId="647">
    <w:name w:val="Heading 2 Char"/>
    <w:basedOn w:val="860"/>
    <w:link w:val="882"/>
    <w:uiPriority w:val="9"/>
    <w:rPr>
      <w:rFonts w:ascii="Arial" w:hAnsi="Arial" w:eastAsia="Arial" w:cs="Arial"/>
      <w:sz w:val="34"/>
    </w:rPr>
  </w:style>
  <w:style w:type="character" w:styleId="648">
    <w:name w:val="Heading 3 Char"/>
    <w:basedOn w:val="860"/>
    <w:link w:val="820"/>
    <w:uiPriority w:val="9"/>
    <w:rPr>
      <w:rFonts w:ascii="Arial" w:hAnsi="Arial" w:eastAsia="Arial" w:cs="Arial"/>
      <w:sz w:val="30"/>
      <w:szCs w:val="30"/>
    </w:rPr>
  </w:style>
  <w:style w:type="character" w:styleId="649">
    <w:name w:val="Heading 4 Char"/>
    <w:basedOn w:val="860"/>
    <w:link w:val="880"/>
    <w:uiPriority w:val="9"/>
    <w:rPr>
      <w:rFonts w:ascii="Arial" w:hAnsi="Arial" w:eastAsia="Arial" w:cs="Arial"/>
      <w:b/>
      <w:bCs/>
      <w:sz w:val="26"/>
      <w:szCs w:val="26"/>
    </w:rPr>
  </w:style>
  <w:style w:type="character" w:styleId="650">
    <w:name w:val="Heading 5 Char"/>
    <w:basedOn w:val="860"/>
    <w:link w:val="842"/>
    <w:uiPriority w:val="9"/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basedOn w:val="806"/>
    <w:next w:val="806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2">
    <w:name w:val="Heading 6 Char"/>
    <w:basedOn w:val="860"/>
    <w:link w:val="651"/>
    <w:uiPriority w:val="9"/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806"/>
    <w:next w:val="806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7 Char"/>
    <w:basedOn w:val="860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806"/>
    <w:next w:val="806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6">
    <w:name w:val="Heading 8 Char"/>
    <w:basedOn w:val="860"/>
    <w:link w:val="655"/>
    <w:uiPriority w:val="9"/>
    <w:rPr>
      <w:rFonts w:ascii="Arial" w:hAnsi="Arial" w:eastAsia="Arial" w:cs="Arial"/>
      <w:i/>
      <w:iCs/>
      <w:sz w:val="22"/>
      <w:szCs w:val="22"/>
    </w:rPr>
  </w:style>
  <w:style w:type="paragraph" w:styleId="657">
    <w:name w:val="Heading 9"/>
    <w:basedOn w:val="806"/>
    <w:next w:val="806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>
    <w:name w:val="Heading 9 Char"/>
    <w:basedOn w:val="860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No Spacing"/>
    <w:uiPriority w:val="1"/>
    <w:qFormat/>
    <w:pPr>
      <w:spacing w:before="0" w:after="0" w:line="240" w:lineRule="auto"/>
    </w:pPr>
  </w:style>
  <w:style w:type="character" w:styleId="660">
    <w:name w:val="Title Char"/>
    <w:basedOn w:val="860"/>
    <w:link w:val="878"/>
    <w:uiPriority w:val="10"/>
    <w:rPr>
      <w:sz w:val="48"/>
      <w:szCs w:val="48"/>
    </w:rPr>
  </w:style>
  <w:style w:type="character" w:styleId="661">
    <w:name w:val="Subtitle Char"/>
    <w:basedOn w:val="860"/>
    <w:link w:val="874"/>
    <w:uiPriority w:val="11"/>
    <w:rPr>
      <w:sz w:val="24"/>
      <w:szCs w:val="24"/>
    </w:rPr>
  </w:style>
  <w:style w:type="paragraph" w:styleId="662">
    <w:name w:val="Quote"/>
    <w:basedOn w:val="806"/>
    <w:next w:val="80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06"/>
    <w:next w:val="80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0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60"/>
    <w:link w:val="666"/>
    <w:uiPriority w:val="99"/>
  </w:style>
  <w:style w:type="paragraph" w:styleId="668">
    <w:name w:val="Footer"/>
    <w:basedOn w:val="806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60"/>
    <w:link w:val="668"/>
    <w:uiPriority w:val="99"/>
  </w:style>
  <w:style w:type="character" w:styleId="670">
    <w:name w:val="Caption Char"/>
    <w:basedOn w:val="864"/>
    <w:link w:val="668"/>
    <w:uiPriority w:val="99"/>
  </w:style>
  <w:style w:type="table" w:styleId="671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7">
    <w:name w:val="footnote text"/>
    <w:basedOn w:val="806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60"/>
    <w:uiPriority w:val="99"/>
    <w:unhideWhenUsed/>
    <w:rPr>
      <w:vertAlign w:val="superscript"/>
    </w:rPr>
  </w:style>
  <w:style w:type="paragraph" w:styleId="800">
    <w:name w:val="endnote text"/>
    <w:basedOn w:val="806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60"/>
    <w:uiPriority w:val="99"/>
    <w:semiHidden/>
    <w:unhideWhenUsed/>
    <w:rPr>
      <w:vertAlign w:val="superscript"/>
    </w:rPr>
  </w:style>
  <w:style w:type="paragraph" w:styleId="803">
    <w:name w:val="TOC Heading"/>
    <w:uiPriority w:val="39"/>
    <w:unhideWhenUsed/>
  </w:style>
  <w:style w:type="paragraph" w:styleId="804">
    <w:name w:val="table of figures"/>
    <w:basedOn w:val="806"/>
    <w:next w:val="806"/>
    <w:uiPriority w:val="99"/>
    <w:unhideWhenUsed/>
    <w:pPr>
      <w:spacing w:after="0" w:afterAutospacing="0"/>
    </w:pPr>
  </w:style>
  <w:style w:type="paragraph" w:styleId="805" w:default="1">
    <w:name w:val="Normal"/>
    <w:link w:val="806"/>
    <w:uiPriority w:val="0"/>
    <w:qFormat/>
    <w:pPr>
      <w:spacing w:after="160" w:line="252" w:lineRule="auto"/>
    </w:pPr>
    <w:rPr>
      <w:rFonts w:ascii="Calibri" w:hAnsi="Calibri"/>
      <w:sz w:val="22"/>
    </w:rPr>
  </w:style>
  <w:style w:type="character" w:styleId="806" w:default="1">
    <w:name w:val="Normal"/>
    <w:link w:val="805"/>
    <w:rPr>
      <w:rFonts w:ascii="Calibri" w:hAnsi="Calibri"/>
      <w:sz w:val="22"/>
    </w:rPr>
  </w:style>
  <w:style w:type="paragraph" w:styleId="807">
    <w:name w:val="toc 2"/>
    <w:next w:val="805"/>
    <w:link w:val="80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08">
    <w:name w:val="toc 2"/>
    <w:link w:val="807"/>
    <w:rPr>
      <w:rFonts w:ascii="XO Thames" w:hAnsi="XO Thames"/>
      <w:sz w:val="28"/>
    </w:rPr>
  </w:style>
  <w:style w:type="paragraph" w:styleId="809">
    <w:name w:val="toc 4"/>
    <w:next w:val="805"/>
    <w:link w:val="81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10">
    <w:name w:val="toc 4"/>
    <w:link w:val="809"/>
    <w:rPr>
      <w:rFonts w:ascii="XO Thames" w:hAnsi="XO Thames"/>
      <w:sz w:val="28"/>
    </w:rPr>
  </w:style>
  <w:style w:type="paragraph" w:styleId="811">
    <w:name w:val="toc 6"/>
    <w:next w:val="805"/>
    <w:link w:val="812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12">
    <w:name w:val="toc 6"/>
    <w:link w:val="811"/>
    <w:rPr>
      <w:rFonts w:ascii="XO Thames" w:hAnsi="XO Thames"/>
      <w:sz w:val="28"/>
    </w:rPr>
  </w:style>
  <w:style w:type="paragraph" w:styleId="813">
    <w:name w:val="toc 7"/>
    <w:next w:val="805"/>
    <w:link w:val="814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14">
    <w:name w:val="toc 7"/>
    <w:link w:val="813"/>
    <w:rPr>
      <w:rFonts w:ascii="XO Thames" w:hAnsi="XO Thames"/>
      <w:sz w:val="28"/>
    </w:rPr>
  </w:style>
  <w:style w:type="paragraph" w:styleId="815">
    <w:name w:val="Normal (Web)"/>
    <w:basedOn w:val="805"/>
    <w:link w:val="816"/>
    <w:pPr>
      <w:spacing w:before="280" w:after="119" w:line="240" w:lineRule="auto"/>
      <w:widowControl w:val="off"/>
    </w:pPr>
    <w:rPr>
      <w:rFonts w:ascii="Times New Roman" w:hAnsi="Times New Roman"/>
      <w:sz w:val="24"/>
    </w:rPr>
  </w:style>
  <w:style w:type="character" w:styleId="816">
    <w:name w:val="Normal (Web)"/>
    <w:basedOn w:val="806"/>
    <w:link w:val="815"/>
    <w:rPr>
      <w:rFonts w:ascii="Times New Roman" w:hAnsi="Times New Roman"/>
      <w:sz w:val="24"/>
    </w:rPr>
  </w:style>
  <w:style w:type="paragraph" w:styleId="817">
    <w:name w:val="ListLabel 1"/>
    <w:link w:val="818"/>
    <w:rPr>
      <w:b w:val="0"/>
      <w:sz w:val="28"/>
    </w:rPr>
  </w:style>
  <w:style w:type="character" w:styleId="818">
    <w:name w:val="ListLabel 1"/>
    <w:link w:val="817"/>
    <w:rPr>
      <w:b w:val="0"/>
      <w:sz w:val="28"/>
    </w:rPr>
  </w:style>
  <w:style w:type="paragraph" w:styleId="819">
    <w:name w:val="Heading 3"/>
    <w:next w:val="805"/>
    <w:link w:val="82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0">
    <w:name w:val="Heading 3"/>
    <w:link w:val="819"/>
    <w:rPr>
      <w:rFonts w:ascii="XO Thames" w:hAnsi="XO Thames"/>
      <w:b/>
      <w:sz w:val="26"/>
    </w:rPr>
  </w:style>
  <w:style w:type="paragraph" w:styleId="821">
    <w:name w:val="Заголовок1"/>
    <w:basedOn w:val="805"/>
    <w:next w:val="823"/>
    <w:link w:val="822"/>
    <w:pPr>
      <w:keepNext/>
      <w:spacing w:before="240" w:after="120"/>
    </w:pPr>
    <w:rPr>
      <w:rFonts w:ascii="Liberation Sans" w:hAnsi="Liberation Sans"/>
      <w:sz w:val="28"/>
    </w:rPr>
  </w:style>
  <w:style w:type="character" w:styleId="822">
    <w:name w:val="Заголовок1"/>
    <w:basedOn w:val="806"/>
    <w:link w:val="821"/>
    <w:rPr>
      <w:rFonts w:ascii="Liberation Sans" w:hAnsi="Liberation Sans"/>
      <w:sz w:val="28"/>
    </w:rPr>
  </w:style>
  <w:style w:type="paragraph" w:styleId="823">
    <w:name w:val="Body Text"/>
    <w:basedOn w:val="805"/>
    <w:link w:val="824"/>
    <w:pPr>
      <w:spacing w:after="140" w:line="288" w:lineRule="auto"/>
    </w:pPr>
  </w:style>
  <w:style w:type="character" w:styleId="824">
    <w:name w:val="Body Text"/>
    <w:basedOn w:val="806"/>
    <w:link w:val="823"/>
  </w:style>
  <w:style w:type="paragraph" w:styleId="825">
    <w:name w:val="List Paragraph"/>
    <w:basedOn w:val="805"/>
    <w:link w:val="826"/>
    <w:pPr>
      <w:contextualSpacing/>
      <w:ind w:left="720" w:firstLine="0"/>
      <w:spacing w:after="0" w:line="240" w:lineRule="auto"/>
    </w:pPr>
  </w:style>
  <w:style w:type="character" w:styleId="826">
    <w:name w:val="List Paragraph"/>
    <w:basedOn w:val="806"/>
    <w:link w:val="825"/>
  </w:style>
  <w:style w:type="paragraph" w:styleId="827">
    <w:name w:val="Plain Text"/>
    <w:basedOn w:val="805"/>
    <w:link w:val="828"/>
    <w:pPr>
      <w:spacing w:after="0" w:line="240" w:lineRule="auto"/>
    </w:pPr>
    <w:rPr>
      <w:rFonts w:ascii="Consolas" w:hAnsi="Consolas"/>
      <w:sz w:val="21"/>
    </w:rPr>
  </w:style>
  <w:style w:type="character" w:styleId="828">
    <w:name w:val="Plain Text"/>
    <w:basedOn w:val="806"/>
    <w:link w:val="827"/>
    <w:rPr>
      <w:rFonts w:ascii="Consolas" w:hAnsi="Consolas"/>
      <w:sz w:val="21"/>
    </w:rPr>
  </w:style>
  <w:style w:type="paragraph" w:styleId="829">
    <w:name w:val="List Bullet 3"/>
    <w:basedOn w:val="805"/>
    <w:link w:val="830"/>
    <w:pPr>
      <w:numPr>
        <w:numId w:val="2"/>
      </w:numPr>
      <w:ind w:left="0" w:firstLine="720"/>
      <w:jc w:val="both"/>
      <w:spacing w:after="0" w:line="240" w:lineRule="auto"/>
    </w:pPr>
    <w:rPr>
      <w:rFonts w:ascii="Times New Roman" w:hAnsi="Times New Roman"/>
      <w:sz w:val="28"/>
    </w:rPr>
  </w:style>
  <w:style w:type="character" w:styleId="830">
    <w:name w:val="List Bullet 3"/>
    <w:basedOn w:val="806"/>
    <w:link w:val="829"/>
    <w:rPr>
      <w:rFonts w:ascii="Times New Roman" w:hAnsi="Times New Roman"/>
      <w:sz w:val="28"/>
    </w:rPr>
  </w:style>
  <w:style w:type="paragraph" w:styleId="831">
    <w:name w:val="CharStyle8"/>
    <w:basedOn w:val="857"/>
    <w:link w:val="832"/>
    <w:rPr>
      <w:rFonts w:ascii="Times New Roman" w:hAnsi="Times New Roman"/>
      <w:b w:val="0"/>
      <w:i w:val="0"/>
      <w:strike w:val="0"/>
      <w:color w:val="000000"/>
      <w:spacing w:val="-3"/>
      <w:sz w:val="23"/>
      <w:u w:val="none"/>
    </w:rPr>
  </w:style>
  <w:style w:type="character" w:styleId="832">
    <w:name w:val="CharStyle8"/>
    <w:basedOn w:val="858"/>
    <w:link w:val="831"/>
    <w:rPr>
      <w:rFonts w:ascii="Times New Roman" w:hAnsi="Times New Roman"/>
      <w:b w:val="0"/>
      <w:i w:val="0"/>
      <w:strike w:val="0"/>
      <w:color w:val="000000"/>
      <w:spacing w:val="-3"/>
      <w:sz w:val="23"/>
      <w:u w:val="none"/>
    </w:rPr>
  </w:style>
  <w:style w:type="paragraph" w:styleId="833">
    <w:name w:val="toc 3"/>
    <w:next w:val="805"/>
    <w:link w:val="83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4">
    <w:name w:val="toc 3"/>
    <w:link w:val="833"/>
    <w:rPr>
      <w:rFonts w:ascii="XO Thames" w:hAnsi="XO Thames"/>
      <w:sz w:val="28"/>
    </w:rPr>
  </w:style>
  <w:style w:type="paragraph" w:styleId="835">
    <w:name w:val="ListLabel 2"/>
    <w:link w:val="836"/>
    <w:rPr>
      <w:b w:val="0"/>
    </w:rPr>
  </w:style>
  <w:style w:type="character" w:styleId="836">
    <w:name w:val="ListLabel 2"/>
    <w:link w:val="835"/>
    <w:rPr>
      <w:b w:val="0"/>
    </w:rPr>
  </w:style>
  <w:style w:type="paragraph" w:styleId="837">
    <w:name w:val="List"/>
    <w:basedOn w:val="823"/>
    <w:link w:val="838"/>
  </w:style>
  <w:style w:type="character" w:styleId="838">
    <w:name w:val="List"/>
    <w:basedOn w:val="824"/>
    <w:link w:val="837"/>
  </w:style>
  <w:style w:type="paragraph" w:styleId="839">
    <w:name w:val="Абзац списка1"/>
    <w:basedOn w:val="805"/>
    <w:link w:val="840"/>
    <w:pPr>
      <w:contextualSpacing/>
      <w:ind w:left="720" w:firstLine="0"/>
    </w:pPr>
  </w:style>
  <w:style w:type="character" w:styleId="840">
    <w:name w:val="Абзац списка1"/>
    <w:basedOn w:val="806"/>
    <w:link w:val="839"/>
  </w:style>
  <w:style w:type="paragraph" w:styleId="841">
    <w:name w:val="Heading 5"/>
    <w:next w:val="805"/>
    <w:link w:val="842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42">
    <w:name w:val="Heading 5"/>
    <w:link w:val="841"/>
    <w:rPr>
      <w:rFonts w:ascii="XO Thames" w:hAnsi="XO Thames"/>
      <w:b/>
      <w:sz w:val="22"/>
    </w:rPr>
  </w:style>
  <w:style w:type="paragraph" w:styleId="843">
    <w:name w:val="Heading 1"/>
    <w:basedOn w:val="805"/>
    <w:next w:val="805"/>
    <w:link w:val="844"/>
    <w:uiPriority w:val="9"/>
    <w:qFormat/>
    <w:pPr>
      <w:keepLines/>
      <w:keepNext/>
      <w:spacing w:before="480" w:after="0" w:line="276" w:lineRule="auto"/>
      <w:outlineLvl w:val="0"/>
    </w:pPr>
    <w:rPr>
      <w:rFonts w:ascii="Cambria" w:hAnsi="Cambria"/>
      <w:b/>
      <w:color w:val="365f91"/>
      <w:sz w:val="28"/>
    </w:rPr>
  </w:style>
  <w:style w:type="character" w:styleId="844">
    <w:name w:val="Heading 1"/>
    <w:basedOn w:val="806"/>
    <w:link w:val="843"/>
    <w:rPr>
      <w:rFonts w:ascii="Cambria" w:hAnsi="Cambria"/>
      <w:b/>
      <w:color w:val="365f91"/>
      <w:sz w:val="28"/>
    </w:rPr>
  </w:style>
  <w:style w:type="paragraph" w:styleId="845">
    <w:name w:val="grame"/>
    <w:basedOn w:val="857"/>
    <w:link w:val="846"/>
  </w:style>
  <w:style w:type="character" w:styleId="846">
    <w:name w:val="grame"/>
    <w:basedOn w:val="858"/>
    <w:link w:val="845"/>
  </w:style>
  <w:style w:type="paragraph" w:styleId="847">
    <w:name w:val="Hyperlink"/>
    <w:link w:val="848"/>
    <w:rPr>
      <w:color w:val="0000ff"/>
      <w:u w:val="single"/>
    </w:rPr>
  </w:style>
  <w:style w:type="character" w:styleId="848">
    <w:name w:val="Hyperlink"/>
    <w:link w:val="847"/>
    <w:rPr>
      <w:color w:val="0000ff"/>
      <w:u w:val="single"/>
    </w:rPr>
  </w:style>
  <w:style w:type="paragraph" w:styleId="849">
    <w:name w:val="Footnote"/>
    <w:link w:val="850"/>
    <w:pPr>
      <w:ind w:left="0" w:firstLine="851"/>
      <w:jc w:val="both"/>
    </w:pPr>
    <w:rPr>
      <w:rFonts w:ascii="XO Thames" w:hAnsi="XO Thames"/>
      <w:sz w:val="22"/>
    </w:rPr>
  </w:style>
  <w:style w:type="character" w:styleId="850">
    <w:name w:val="Footnote"/>
    <w:link w:val="849"/>
    <w:rPr>
      <w:rFonts w:ascii="XO Thames" w:hAnsi="XO Thames"/>
      <w:sz w:val="22"/>
    </w:rPr>
  </w:style>
  <w:style w:type="paragraph" w:styleId="851">
    <w:name w:val="toc 1"/>
    <w:next w:val="805"/>
    <w:link w:val="85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52">
    <w:name w:val="toc 1"/>
    <w:link w:val="851"/>
    <w:rPr>
      <w:rFonts w:ascii="XO Thames" w:hAnsi="XO Thames"/>
      <w:b/>
      <w:sz w:val="28"/>
    </w:rPr>
  </w:style>
  <w:style w:type="paragraph" w:styleId="853">
    <w:name w:val="Header and Footer"/>
    <w:link w:val="854"/>
    <w:pPr>
      <w:jc w:val="both"/>
      <w:spacing w:line="240" w:lineRule="auto"/>
    </w:pPr>
    <w:rPr>
      <w:rFonts w:ascii="XO Thames" w:hAnsi="XO Thames"/>
      <w:sz w:val="20"/>
    </w:rPr>
  </w:style>
  <w:style w:type="character" w:styleId="854">
    <w:name w:val="Header and Footer"/>
    <w:link w:val="853"/>
    <w:rPr>
      <w:rFonts w:ascii="XO Thames" w:hAnsi="XO Thames"/>
      <w:sz w:val="20"/>
    </w:rPr>
  </w:style>
  <w:style w:type="paragraph" w:styleId="855">
    <w:name w:val="toc 9"/>
    <w:next w:val="805"/>
    <w:link w:val="85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56">
    <w:name w:val="toc 9"/>
    <w:link w:val="855"/>
    <w:rPr>
      <w:rFonts w:ascii="XO Thames" w:hAnsi="XO Thames"/>
      <w:sz w:val="28"/>
    </w:rPr>
  </w:style>
  <w:style w:type="paragraph" w:styleId="857">
    <w:name w:val="Основной шрифт абзаца1"/>
    <w:link w:val="858"/>
  </w:style>
  <w:style w:type="character" w:styleId="858">
    <w:name w:val="Основной шрифт абзаца1"/>
    <w:link w:val="857"/>
  </w:style>
  <w:style w:type="paragraph" w:styleId="859">
    <w:name w:val="Default Paragraph Font"/>
    <w:link w:val="860"/>
  </w:style>
  <w:style w:type="character" w:styleId="860">
    <w:name w:val="Default Paragraph Font"/>
    <w:link w:val="859"/>
  </w:style>
  <w:style w:type="paragraph" w:styleId="861">
    <w:name w:val="toc 8"/>
    <w:next w:val="805"/>
    <w:link w:val="86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62">
    <w:name w:val="toc 8"/>
    <w:link w:val="861"/>
    <w:rPr>
      <w:rFonts w:ascii="XO Thames" w:hAnsi="XO Thames"/>
      <w:sz w:val="28"/>
    </w:rPr>
  </w:style>
  <w:style w:type="paragraph" w:styleId="863">
    <w:name w:val="Caption"/>
    <w:basedOn w:val="805"/>
    <w:link w:val="864"/>
    <w:pPr>
      <w:spacing w:before="120" w:after="120"/>
    </w:pPr>
    <w:rPr>
      <w:i/>
      <w:sz w:val="24"/>
    </w:rPr>
  </w:style>
  <w:style w:type="character" w:styleId="864">
    <w:name w:val="Caption"/>
    <w:basedOn w:val="806"/>
    <w:link w:val="863"/>
    <w:rPr>
      <w:i/>
      <w:sz w:val="24"/>
    </w:rPr>
  </w:style>
  <w:style w:type="paragraph" w:styleId="865">
    <w:name w:val="toc 5"/>
    <w:next w:val="805"/>
    <w:link w:val="866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66">
    <w:name w:val="toc 5"/>
    <w:link w:val="865"/>
    <w:rPr>
      <w:rFonts w:ascii="XO Thames" w:hAnsi="XO Thames"/>
      <w:sz w:val="28"/>
    </w:rPr>
  </w:style>
  <w:style w:type="paragraph" w:styleId="867">
    <w:name w:val="CharStyle6"/>
    <w:basedOn w:val="859"/>
    <w:link w:val="868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character" w:styleId="868">
    <w:name w:val="CharStyle6"/>
    <w:basedOn w:val="860"/>
    <w:link w:val="867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paragraph" w:styleId="869">
    <w:name w:val="Balloon Text"/>
    <w:basedOn w:val="805"/>
    <w:link w:val="870"/>
    <w:pPr>
      <w:spacing w:after="0" w:line="240" w:lineRule="auto"/>
    </w:pPr>
    <w:rPr>
      <w:rFonts w:ascii="Tahoma" w:hAnsi="Tahoma"/>
      <w:sz w:val="16"/>
    </w:rPr>
  </w:style>
  <w:style w:type="character" w:styleId="870">
    <w:name w:val="Balloon Text"/>
    <w:basedOn w:val="806"/>
    <w:link w:val="869"/>
    <w:rPr>
      <w:rFonts w:ascii="Tahoma" w:hAnsi="Tahoma"/>
      <w:sz w:val="16"/>
    </w:rPr>
  </w:style>
  <w:style w:type="paragraph" w:styleId="871">
    <w:name w:val="Указатель1"/>
    <w:basedOn w:val="805"/>
    <w:link w:val="872"/>
  </w:style>
  <w:style w:type="character" w:styleId="872">
    <w:name w:val="Указатель1"/>
    <w:basedOn w:val="806"/>
    <w:link w:val="871"/>
  </w:style>
  <w:style w:type="paragraph" w:styleId="873">
    <w:name w:val="Subtitle"/>
    <w:next w:val="805"/>
    <w:link w:val="87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74">
    <w:name w:val="Subtitle"/>
    <w:link w:val="873"/>
    <w:rPr>
      <w:rFonts w:ascii="XO Thames" w:hAnsi="XO Thames"/>
      <w:i/>
      <w:sz w:val="24"/>
    </w:rPr>
  </w:style>
  <w:style w:type="paragraph" w:styleId="875">
    <w:name w:val="toc 10"/>
    <w:next w:val="805"/>
    <w:link w:val="876"/>
    <w:uiPriority w:val="39"/>
    <w:pPr>
      <w:ind w:left="1800" w:firstLine="0"/>
      <w:jc w:val="left"/>
    </w:pPr>
    <w:rPr>
      <w:rFonts w:ascii="XO Thames" w:hAnsi="XO Thames"/>
      <w:sz w:val="28"/>
    </w:rPr>
  </w:style>
  <w:style w:type="character" w:styleId="876">
    <w:name w:val="toc 10"/>
    <w:link w:val="875"/>
    <w:rPr>
      <w:rFonts w:ascii="XO Thames" w:hAnsi="XO Thames"/>
      <w:sz w:val="28"/>
    </w:rPr>
  </w:style>
  <w:style w:type="paragraph" w:styleId="877">
    <w:name w:val="Title"/>
    <w:next w:val="805"/>
    <w:link w:val="87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78">
    <w:name w:val="Title"/>
    <w:link w:val="877"/>
    <w:rPr>
      <w:rFonts w:ascii="XO Thames" w:hAnsi="XO Thames"/>
      <w:b/>
      <w:caps/>
      <w:sz w:val="40"/>
    </w:rPr>
  </w:style>
  <w:style w:type="paragraph" w:styleId="879">
    <w:name w:val="Heading 4"/>
    <w:basedOn w:val="805"/>
    <w:next w:val="805"/>
    <w:link w:val="880"/>
    <w:uiPriority w:val="9"/>
    <w:qFormat/>
    <w:pPr>
      <w:keepLines/>
      <w:keepNext/>
      <w:spacing w:before="40" w:after="0"/>
      <w:outlineLvl w:val="3"/>
    </w:pPr>
    <w:rPr>
      <w:rFonts w:asciiTheme="majorAscii" w:hAnsiTheme="majorHAnsi"/>
      <w:i/>
      <w:color w:val="366091" w:themeColor="accent1" w:themeShade="BF"/>
    </w:rPr>
  </w:style>
  <w:style w:type="character" w:styleId="880">
    <w:name w:val="Heading 4"/>
    <w:basedOn w:val="806"/>
    <w:link w:val="879"/>
    <w:rPr>
      <w:rFonts w:asciiTheme="majorAscii" w:hAnsiTheme="majorHAnsi"/>
      <w:i/>
      <w:color w:val="366091" w:themeColor="accent1" w:themeShade="BF"/>
    </w:rPr>
  </w:style>
  <w:style w:type="paragraph" w:styleId="881">
    <w:name w:val="Heading 2"/>
    <w:next w:val="805"/>
    <w:link w:val="882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82">
    <w:name w:val="Heading 2"/>
    <w:link w:val="881"/>
    <w:rPr>
      <w:rFonts w:ascii="XO Thames" w:hAnsi="XO Thames"/>
      <w:b/>
      <w:sz w:val="28"/>
    </w:rPr>
  </w:style>
  <w:style w:type="table" w:styleId="88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modified xsi:type="dcterms:W3CDTF">2024-03-14T09:59:44Z</dcterms:modified>
</cp:coreProperties>
</file>